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5D61" w:rsidRDefault="00E0333C">
      <w:pPr>
        <w:overflowPunct w:val="0"/>
        <w:autoSpaceDE w:val="0"/>
        <w:autoSpaceDN w:val="0"/>
        <w:adjustRightInd w:val="0"/>
        <w:snapToGrid w:val="0"/>
        <w:spacing w:before="156"/>
        <w:jc w:val="left"/>
        <w:textAlignment w:val="baseline"/>
        <w:rPr>
          <w:rFonts w:ascii="Arial" w:hAnsi="Arial" w:cs="Arial"/>
          <w:b/>
          <w:bCs/>
          <w:kern w:val="0"/>
          <w:sz w:val="28"/>
          <w:szCs w:val="28"/>
          <w:lang w:val="en-GB"/>
        </w:rPr>
      </w:pPr>
      <w:r>
        <w:rPr>
          <w:rFonts w:ascii="Arial" w:hAnsi="Arial" w:cs="Arial"/>
          <w:b/>
          <w:bCs/>
          <w:kern w:val="0"/>
          <w:sz w:val="28"/>
          <w:szCs w:val="28"/>
          <w:lang w:val="en-GB"/>
        </w:rPr>
        <w:t>3GPP TSG-RAN WG2 Meeting #</w:t>
      </w:r>
      <w:r>
        <w:rPr>
          <w:rFonts w:ascii="Arial" w:hAnsi="Arial" w:cs="Arial" w:hint="eastAsia"/>
          <w:b/>
          <w:bCs/>
          <w:kern w:val="0"/>
          <w:sz w:val="28"/>
          <w:szCs w:val="28"/>
        </w:rPr>
        <w:t>10</w:t>
      </w:r>
      <w:r>
        <w:rPr>
          <w:rFonts w:ascii="Arial" w:hAnsi="Arial" w:cs="Arial" w:hint="eastAsia"/>
          <w:b/>
          <w:bCs/>
          <w:kern w:val="0"/>
          <w:sz w:val="28"/>
          <w:szCs w:val="28"/>
          <w:lang w:val="en-GB"/>
        </w:rPr>
        <w:t>1</w:t>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hint="eastAsia"/>
          <w:b/>
          <w:bCs/>
          <w:kern w:val="0"/>
          <w:sz w:val="28"/>
          <w:szCs w:val="28"/>
        </w:rPr>
        <w:t xml:space="preserve">                   </w:t>
      </w:r>
      <w:r>
        <w:rPr>
          <w:rFonts w:ascii="Arial" w:hAnsi="Arial" w:cs="Arial" w:hint="eastAsia"/>
          <w:b/>
          <w:bCs/>
          <w:kern w:val="0"/>
          <w:sz w:val="28"/>
          <w:szCs w:val="28"/>
          <w:lang w:val="en-GB"/>
        </w:rPr>
        <w:t>R2-1</w:t>
      </w:r>
      <w:r>
        <w:rPr>
          <w:rFonts w:ascii="Arial" w:hAnsi="Arial" w:cs="Arial" w:hint="eastAsia"/>
          <w:b/>
          <w:bCs/>
          <w:kern w:val="0"/>
          <w:sz w:val="28"/>
          <w:szCs w:val="28"/>
        </w:rPr>
        <w:t>80</w:t>
      </w:r>
      <w:r>
        <w:rPr>
          <w:rFonts w:ascii="Arial" w:hAnsi="Arial" w:cs="Arial" w:hint="eastAsia"/>
          <w:b/>
          <w:bCs/>
          <w:kern w:val="0"/>
          <w:sz w:val="28"/>
          <w:szCs w:val="28"/>
        </w:rPr>
        <w:t>2023</w:t>
      </w:r>
    </w:p>
    <w:p w:rsidR="00DD5D61" w:rsidRDefault="00E0333C">
      <w:pPr>
        <w:overflowPunct w:val="0"/>
        <w:autoSpaceDE w:val="0"/>
        <w:autoSpaceDN w:val="0"/>
        <w:adjustRightInd w:val="0"/>
        <w:snapToGrid w:val="0"/>
        <w:spacing w:before="156"/>
        <w:jc w:val="left"/>
        <w:textAlignment w:val="baseline"/>
        <w:rPr>
          <w:rFonts w:ascii="Arial" w:hAnsi="Arial" w:cs="Arial"/>
          <w:b/>
          <w:bCs/>
          <w:kern w:val="0"/>
          <w:sz w:val="28"/>
          <w:szCs w:val="28"/>
          <w:lang w:val="en-GB"/>
        </w:rPr>
      </w:pPr>
      <w:r>
        <w:rPr>
          <w:rFonts w:ascii="Arial" w:hAnsi="Arial" w:cs="Arial" w:hint="eastAsia"/>
          <w:b/>
          <w:bCs/>
          <w:kern w:val="0"/>
          <w:sz w:val="28"/>
          <w:szCs w:val="28"/>
        </w:rPr>
        <w:t>Athens</w:t>
      </w:r>
      <w:r>
        <w:rPr>
          <w:rFonts w:ascii="Arial" w:hAnsi="Arial" w:cs="Arial"/>
          <w:b/>
          <w:bCs/>
          <w:kern w:val="0"/>
          <w:sz w:val="28"/>
          <w:szCs w:val="28"/>
          <w:lang w:val="en-GB"/>
        </w:rPr>
        <w:t xml:space="preserve">, </w:t>
      </w:r>
      <w:r>
        <w:rPr>
          <w:rFonts w:ascii="Arial" w:hAnsi="Arial" w:cs="Arial" w:hint="eastAsia"/>
          <w:b/>
          <w:bCs/>
          <w:kern w:val="0"/>
          <w:sz w:val="28"/>
          <w:szCs w:val="28"/>
        </w:rPr>
        <w:t>Greece</w:t>
      </w:r>
      <w:r>
        <w:rPr>
          <w:rFonts w:ascii="Arial" w:hAnsi="Arial" w:cs="Arial"/>
          <w:b/>
          <w:bCs/>
          <w:kern w:val="0"/>
          <w:sz w:val="28"/>
          <w:szCs w:val="28"/>
          <w:lang w:val="en-GB"/>
        </w:rPr>
        <w:t>, 2</w:t>
      </w:r>
      <w:r>
        <w:rPr>
          <w:rFonts w:ascii="Arial" w:hAnsi="Arial" w:cs="Arial" w:hint="eastAsia"/>
          <w:b/>
          <w:bCs/>
          <w:kern w:val="0"/>
          <w:sz w:val="28"/>
          <w:szCs w:val="28"/>
        </w:rPr>
        <w:t>6</w:t>
      </w:r>
      <w:r>
        <w:rPr>
          <w:rFonts w:ascii="Arial" w:hAnsi="Arial" w:cs="Arial"/>
          <w:b/>
          <w:bCs/>
          <w:kern w:val="0"/>
          <w:sz w:val="28"/>
          <w:szCs w:val="28"/>
          <w:vertAlign w:val="superscript"/>
          <w:lang w:val="en-GB"/>
        </w:rPr>
        <w:t>th</w:t>
      </w:r>
      <w:r>
        <w:rPr>
          <w:rFonts w:ascii="Arial" w:hAnsi="Arial" w:cs="Arial"/>
          <w:b/>
          <w:bCs/>
          <w:kern w:val="0"/>
          <w:sz w:val="28"/>
          <w:szCs w:val="28"/>
          <w:lang w:val="en-GB"/>
        </w:rPr>
        <w:t xml:space="preserve"> </w:t>
      </w:r>
      <w:r>
        <w:rPr>
          <w:rFonts w:ascii="Arial" w:hAnsi="Arial" w:cs="Arial" w:hint="eastAsia"/>
          <w:b/>
          <w:bCs/>
          <w:kern w:val="0"/>
          <w:sz w:val="28"/>
          <w:szCs w:val="28"/>
        </w:rPr>
        <w:t>Feb</w:t>
      </w:r>
      <w:r>
        <w:rPr>
          <w:rFonts w:ascii="Arial" w:hAnsi="Arial" w:cs="Arial"/>
          <w:b/>
          <w:bCs/>
          <w:kern w:val="0"/>
          <w:sz w:val="28"/>
          <w:szCs w:val="28"/>
          <w:lang w:val="en-GB"/>
        </w:rPr>
        <w:t xml:space="preserve">– </w:t>
      </w:r>
      <w:r>
        <w:rPr>
          <w:rFonts w:ascii="Arial" w:hAnsi="Arial" w:cs="Arial" w:hint="eastAsia"/>
          <w:b/>
          <w:bCs/>
          <w:kern w:val="0"/>
          <w:sz w:val="28"/>
          <w:szCs w:val="28"/>
        </w:rPr>
        <w:t>2</w:t>
      </w:r>
      <w:r>
        <w:rPr>
          <w:rFonts w:ascii="Arial" w:hAnsi="Arial" w:cs="Arial" w:hint="eastAsia"/>
          <w:b/>
          <w:bCs/>
          <w:kern w:val="0"/>
          <w:sz w:val="28"/>
          <w:szCs w:val="28"/>
          <w:vertAlign w:val="superscript"/>
        </w:rPr>
        <w:t>rd</w:t>
      </w:r>
      <w:r>
        <w:rPr>
          <w:rFonts w:ascii="Arial" w:hAnsi="Arial" w:cs="Arial"/>
          <w:b/>
          <w:bCs/>
          <w:kern w:val="0"/>
          <w:sz w:val="28"/>
          <w:szCs w:val="28"/>
          <w:lang w:val="en-GB"/>
        </w:rPr>
        <w:t xml:space="preserve"> </w:t>
      </w:r>
      <w:r>
        <w:rPr>
          <w:rFonts w:ascii="Arial" w:hAnsi="Arial" w:cs="Arial" w:hint="eastAsia"/>
          <w:b/>
          <w:bCs/>
          <w:kern w:val="0"/>
          <w:sz w:val="28"/>
          <w:szCs w:val="28"/>
        </w:rPr>
        <w:t>Mar</w:t>
      </w:r>
      <w:r>
        <w:rPr>
          <w:rFonts w:ascii="Arial" w:hAnsi="Arial" w:cs="Arial" w:hint="eastAsia"/>
          <w:b/>
          <w:bCs/>
          <w:kern w:val="0"/>
          <w:sz w:val="28"/>
          <w:szCs w:val="28"/>
          <w:lang w:val="en-GB"/>
        </w:rPr>
        <w:t xml:space="preserve"> 2018 </w:t>
      </w:r>
    </w:p>
    <w:p w:rsidR="00DD5D61" w:rsidRDefault="00E0333C">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 Sanechips</w:t>
      </w:r>
    </w:p>
    <w:p w:rsidR="00DD5D61" w:rsidRDefault="00E0333C">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Clarification on SSB-ToMeasure bitmap in SMTC configuration </w:t>
      </w:r>
      <w:r>
        <w:rPr>
          <w:rFonts w:ascii="Arial" w:hAnsi="Arial" w:cs="Arial"/>
          <w:b/>
          <w:bCs/>
          <w:snapToGrid w:val="0"/>
          <w:kern w:val="0"/>
          <w:sz w:val="24"/>
        </w:rPr>
        <w:t xml:space="preserve"> </w:t>
      </w:r>
    </w:p>
    <w:p w:rsidR="00DD5D61" w:rsidRDefault="00E0333C">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10.</w:t>
      </w:r>
      <w:r>
        <w:rPr>
          <w:rFonts w:ascii="Arial" w:hAnsi="Arial" w:cs="Arial" w:hint="eastAsia"/>
          <w:b/>
          <w:bCs/>
          <w:snapToGrid w:val="0"/>
          <w:kern w:val="0"/>
          <w:sz w:val="24"/>
        </w:rPr>
        <w:t>4.1.4.1</w:t>
      </w:r>
    </w:p>
    <w:p w:rsidR="00DD5D61" w:rsidRDefault="00E0333C">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ascii="Arial" w:hAnsi="Arial" w:cs="Arial" w:hint="eastAsia"/>
          <w:b/>
          <w:bCs/>
          <w:snapToGrid w:val="0"/>
          <w:kern w:val="0"/>
          <w:sz w:val="24"/>
        </w:rPr>
        <w:t xml:space="preserve"> and Decision</w:t>
      </w:r>
    </w:p>
    <w:p w:rsidR="00DD5D61" w:rsidRDefault="00E0333C">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D5D61" w:rsidRDefault="00E0333C">
      <w:pPr>
        <w:spacing w:before="156"/>
      </w:pPr>
      <w:r>
        <w:rPr>
          <w:rFonts w:hint="eastAsia"/>
        </w:rPr>
        <w:t>In RAN1 #90bis meeting, following agreements are made for SSB-ToMeasure bitmap.</w:t>
      </w:r>
    </w:p>
    <w:p w:rsidR="00DD5D61" w:rsidRDefault="00E0333C">
      <w:pPr>
        <w:pStyle w:val="BodyText"/>
        <w:spacing w:beforeLines="0" w:before="0" w:after="0" w:line="240" w:lineRule="auto"/>
        <w:jc w:val="both"/>
        <w:rPr>
          <w:rFonts w:ascii="Times" w:eastAsia="Batang" w:hAnsi="Times"/>
          <w:sz w:val="21"/>
          <w:szCs w:val="20"/>
          <w:highlight w:val="green"/>
          <w:u w:val="single"/>
          <w:lang w:eastAsia="en-US"/>
        </w:rPr>
      </w:pPr>
      <w:r>
        <w:rPr>
          <w:rFonts w:ascii="Times" w:eastAsia="Batang" w:hAnsi="Times"/>
          <w:sz w:val="21"/>
          <w:szCs w:val="20"/>
          <w:highlight w:val="green"/>
          <w:u w:val="single"/>
          <w:lang w:eastAsia="en-US"/>
        </w:rPr>
        <w:t>Agreements:</w:t>
      </w:r>
    </w:p>
    <w:p w:rsidR="00DD5D61" w:rsidRDefault="00E0333C">
      <w:pPr>
        <w:pStyle w:val="BodyText"/>
        <w:numPr>
          <w:ilvl w:val="0"/>
          <w:numId w:val="4"/>
        </w:numPr>
        <w:snapToGrid w:val="0"/>
        <w:spacing w:beforeLines="0" w:before="0" w:after="0" w:line="240" w:lineRule="auto"/>
        <w:ind w:hanging="363"/>
        <w:jc w:val="both"/>
        <w:rPr>
          <w:rFonts w:ascii="Times" w:eastAsia="Batang" w:hAnsi="Times"/>
          <w:szCs w:val="18"/>
          <w:lang w:eastAsia="en-US"/>
        </w:rPr>
      </w:pPr>
      <w:r>
        <w:rPr>
          <w:rFonts w:ascii="Times" w:eastAsia="Batang" w:hAnsi="Times"/>
          <w:szCs w:val="18"/>
          <w:lang w:eastAsia="en-US"/>
        </w:rPr>
        <w:t xml:space="preserve">The network can indicate a set of SS blocks to be measured within the SMTC measurement duration (connected mode only) </w:t>
      </w:r>
    </w:p>
    <w:p w:rsidR="00DD5D61" w:rsidRDefault="00E0333C">
      <w:pPr>
        <w:pStyle w:val="BodyText"/>
        <w:numPr>
          <w:ilvl w:val="1"/>
          <w:numId w:val="4"/>
        </w:numPr>
        <w:snapToGrid w:val="0"/>
        <w:spacing w:beforeLines="0" w:before="0" w:after="0" w:line="240" w:lineRule="auto"/>
        <w:ind w:hanging="363"/>
        <w:jc w:val="both"/>
        <w:rPr>
          <w:rFonts w:ascii="Times" w:eastAsia="Batang" w:hAnsi="Times"/>
          <w:szCs w:val="18"/>
          <w:lang w:eastAsia="en-US"/>
        </w:rPr>
      </w:pPr>
      <w:r>
        <w:rPr>
          <w:rFonts w:ascii="Times" w:eastAsia="Batang" w:hAnsi="Times"/>
          <w:szCs w:val="18"/>
          <w:lang w:eastAsia="en-US"/>
        </w:rPr>
        <w:t>The indi</w:t>
      </w:r>
      <w:r>
        <w:rPr>
          <w:rFonts w:ascii="Times" w:eastAsia="Batang" w:hAnsi="Times"/>
          <w:szCs w:val="18"/>
          <w:lang w:eastAsia="en-US"/>
        </w:rPr>
        <w:t>cation is per frequency layer</w:t>
      </w:r>
    </w:p>
    <w:p w:rsidR="00DD5D61" w:rsidRDefault="00E0333C">
      <w:pPr>
        <w:pStyle w:val="BodyText"/>
        <w:numPr>
          <w:ilvl w:val="1"/>
          <w:numId w:val="4"/>
        </w:numPr>
        <w:snapToGrid w:val="0"/>
        <w:spacing w:beforeLines="0" w:before="0" w:after="0" w:line="240" w:lineRule="auto"/>
        <w:ind w:hanging="363"/>
        <w:jc w:val="both"/>
        <w:rPr>
          <w:rFonts w:ascii="Times" w:eastAsia="Batang" w:hAnsi="Times"/>
          <w:szCs w:val="18"/>
          <w:lang w:eastAsia="en-US"/>
        </w:rPr>
      </w:pPr>
      <w:r>
        <w:rPr>
          <w:rFonts w:ascii="Times" w:eastAsia="Batang" w:hAnsi="Times"/>
          <w:szCs w:val="18"/>
          <w:lang w:eastAsia="en-US"/>
        </w:rPr>
        <w:t>The UE is not required to measure SS blocks not indicated as transmitted</w:t>
      </w:r>
    </w:p>
    <w:p w:rsidR="00DD5D61" w:rsidRDefault="00E0333C">
      <w:pPr>
        <w:pStyle w:val="BodyText"/>
        <w:numPr>
          <w:ilvl w:val="1"/>
          <w:numId w:val="4"/>
        </w:numPr>
        <w:snapToGrid w:val="0"/>
        <w:spacing w:beforeLines="0" w:before="0" w:after="0" w:line="240" w:lineRule="auto"/>
        <w:ind w:hanging="363"/>
        <w:jc w:val="both"/>
        <w:rPr>
          <w:rFonts w:ascii="Times" w:eastAsia="Batang" w:hAnsi="Times"/>
          <w:szCs w:val="18"/>
          <w:lang w:eastAsia="en-US"/>
        </w:rPr>
      </w:pPr>
      <w:r>
        <w:rPr>
          <w:rFonts w:ascii="Times" w:eastAsia="Batang" w:hAnsi="Times"/>
          <w:szCs w:val="18"/>
          <w:lang w:eastAsia="en-US"/>
        </w:rPr>
        <w:t xml:space="preserve">If there is no indication, the default value is that all SS blocks within the SMTC measurement duration </w:t>
      </w:r>
    </w:p>
    <w:p w:rsidR="00DD5D61" w:rsidRDefault="00E0333C">
      <w:pPr>
        <w:pStyle w:val="BodyText"/>
        <w:numPr>
          <w:ilvl w:val="1"/>
          <w:numId w:val="4"/>
        </w:numPr>
        <w:snapToGrid w:val="0"/>
        <w:spacing w:beforeLines="0" w:before="0" w:after="0" w:line="240" w:lineRule="auto"/>
        <w:ind w:hanging="363"/>
        <w:jc w:val="both"/>
        <w:rPr>
          <w:rFonts w:ascii="Times" w:eastAsia="Batang" w:hAnsi="Times"/>
          <w:szCs w:val="18"/>
          <w:lang w:eastAsia="en-US"/>
        </w:rPr>
      </w:pPr>
      <w:r>
        <w:rPr>
          <w:rFonts w:ascii="Times" w:eastAsia="Batang" w:hAnsi="Times"/>
          <w:szCs w:val="18"/>
          <w:lang w:eastAsia="en-US"/>
        </w:rPr>
        <w:t xml:space="preserve">The signaling method is applicable to both </w:t>
      </w:r>
      <w:r>
        <w:rPr>
          <w:rFonts w:ascii="Times" w:eastAsia="Batang" w:hAnsi="Times"/>
          <w:szCs w:val="18"/>
          <w:lang w:eastAsia="en-US"/>
        </w:rPr>
        <w:t>intra- and inter-frequency measurements</w:t>
      </w:r>
    </w:p>
    <w:p w:rsidR="00DD5D61" w:rsidRDefault="00E0333C">
      <w:pPr>
        <w:pStyle w:val="BodyText"/>
        <w:numPr>
          <w:ilvl w:val="0"/>
          <w:numId w:val="4"/>
        </w:numPr>
        <w:snapToGrid w:val="0"/>
        <w:spacing w:beforeLines="0" w:before="0" w:after="0" w:line="240" w:lineRule="auto"/>
        <w:ind w:hanging="363"/>
        <w:jc w:val="both"/>
        <w:rPr>
          <w:rFonts w:ascii="Times" w:eastAsia="Batang" w:hAnsi="Times"/>
          <w:szCs w:val="18"/>
          <w:lang w:eastAsia="en-US"/>
        </w:rPr>
      </w:pPr>
      <w:r>
        <w:rPr>
          <w:rFonts w:ascii="Times" w:eastAsia="Batang" w:hAnsi="Times"/>
          <w:szCs w:val="18"/>
          <w:lang w:eastAsia="en-US"/>
        </w:rPr>
        <w:t>For connected mode:</w:t>
      </w:r>
    </w:p>
    <w:p w:rsidR="00DD5D61" w:rsidRDefault="00E0333C">
      <w:pPr>
        <w:pStyle w:val="BodyText"/>
        <w:numPr>
          <w:ilvl w:val="1"/>
          <w:numId w:val="4"/>
        </w:numPr>
        <w:snapToGrid w:val="0"/>
        <w:spacing w:beforeLines="0" w:before="0" w:after="0" w:line="240" w:lineRule="auto"/>
        <w:ind w:hanging="363"/>
        <w:jc w:val="both"/>
        <w:rPr>
          <w:rFonts w:ascii="Times" w:eastAsia="Batang" w:hAnsi="Times"/>
          <w:szCs w:val="18"/>
          <w:lang w:eastAsia="en-US"/>
        </w:rPr>
      </w:pPr>
      <w:r>
        <w:rPr>
          <w:rFonts w:ascii="Times" w:eastAsia="Batang" w:hAnsi="Times"/>
          <w:szCs w:val="18"/>
          <w:highlight w:val="yellow"/>
          <w:lang w:eastAsia="en-US"/>
        </w:rPr>
        <w:t>The signaling is via RRC and a full bitmap with length L</w:t>
      </w:r>
      <w:r>
        <w:rPr>
          <w:rFonts w:ascii="Times" w:eastAsia="Batang" w:hAnsi="Times"/>
          <w:szCs w:val="18"/>
          <w:lang w:eastAsia="en-US"/>
        </w:rPr>
        <w:t xml:space="preserve"> </w:t>
      </w:r>
    </w:p>
    <w:p w:rsidR="00DD5D61" w:rsidRDefault="00E0333C">
      <w:pPr>
        <w:pStyle w:val="BodyText"/>
        <w:numPr>
          <w:ilvl w:val="0"/>
          <w:numId w:val="4"/>
        </w:numPr>
        <w:snapToGrid w:val="0"/>
        <w:spacing w:beforeLines="0" w:before="0" w:after="0" w:line="240" w:lineRule="auto"/>
        <w:ind w:hanging="363"/>
        <w:jc w:val="both"/>
        <w:rPr>
          <w:rFonts w:ascii="Times" w:eastAsia="Batang" w:hAnsi="Times"/>
          <w:szCs w:val="18"/>
          <w:lang w:eastAsia="en-US"/>
        </w:rPr>
      </w:pPr>
      <w:r>
        <w:rPr>
          <w:rFonts w:ascii="Times" w:eastAsia="Batang" w:hAnsi="Times"/>
          <w:szCs w:val="18"/>
          <w:lang w:eastAsia="en-US"/>
        </w:rPr>
        <w:t>For idle mode</w:t>
      </w:r>
    </w:p>
    <w:p w:rsidR="00DD5D61" w:rsidRDefault="00E0333C">
      <w:pPr>
        <w:pStyle w:val="BodyText"/>
        <w:numPr>
          <w:ilvl w:val="1"/>
          <w:numId w:val="4"/>
        </w:numPr>
        <w:snapToGrid w:val="0"/>
        <w:spacing w:beforeLines="0" w:before="0" w:after="0" w:line="240" w:lineRule="auto"/>
        <w:ind w:hanging="363"/>
        <w:jc w:val="both"/>
        <w:rPr>
          <w:rFonts w:ascii="Times" w:eastAsia="Batang" w:hAnsi="Times"/>
          <w:szCs w:val="18"/>
          <w:lang w:eastAsia="en-US"/>
        </w:rPr>
      </w:pPr>
      <w:r>
        <w:rPr>
          <w:rFonts w:ascii="Times" w:eastAsia="Batang" w:hAnsi="Times"/>
          <w:szCs w:val="18"/>
          <w:lang w:eastAsia="en-US"/>
        </w:rPr>
        <w:t>No indication from gNB</w:t>
      </w:r>
    </w:p>
    <w:p w:rsidR="00DD5D61" w:rsidRDefault="00E0333C">
      <w:pPr>
        <w:pStyle w:val="BodyText"/>
        <w:numPr>
          <w:ilvl w:val="1"/>
          <w:numId w:val="4"/>
        </w:numPr>
        <w:snapToGrid w:val="0"/>
        <w:spacing w:beforeLines="0" w:before="0" w:after="0" w:line="240" w:lineRule="auto"/>
        <w:ind w:hanging="363"/>
        <w:jc w:val="both"/>
        <w:rPr>
          <w:rFonts w:ascii="Times" w:eastAsia="Batang" w:hAnsi="Times"/>
          <w:szCs w:val="18"/>
          <w:lang w:eastAsia="en-US"/>
        </w:rPr>
      </w:pPr>
      <w:r>
        <w:rPr>
          <w:rFonts w:ascii="Times" w:eastAsia="Batang" w:hAnsi="Times"/>
          <w:szCs w:val="18"/>
          <w:lang w:eastAsia="en-US"/>
        </w:rPr>
        <w:t xml:space="preserve">Note: this means that all SS blocks within the SMTC measurement duration </w:t>
      </w:r>
    </w:p>
    <w:p w:rsidR="00DD5D61" w:rsidRDefault="00E0333C">
      <w:pPr>
        <w:spacing w:before="156"/>
        <w:rPr>
          <w:rFonts w:ascii="Times" w:eastAsia="Batang" w:hAnsi="Times"/>
          <w:kern w:val="0"/>
          <w:szCs w:val="20"/>
          <w:highlight w:val="green"/>
          <w:lang w:eastAsia="en-US"/>
        </w:rPr>
      </w:pPr>
      <w:r>
        <w:rPr>
          <w:rFonts w:hint="eastAsia"/>
        </w:rPr>
        <w:t>In RAN1 #AH1801 meeting, fo</w:t>
      </w:r>
      <w:r>
        <w:rPr>
          <w:rFonts w:hint="eastAsia"/>
        </w:rPr>
        <w:t>llowing agreements are made for associated SSB.</w:t>
      </w:r>
    </w:p>
    <w:p w:rsidR="00DD5D61" w:rsidRDefault="00E0333C">
      <w:pPr>
        <w:pStyle w:val="BodyText"/>
        <w:spacing w:beforeLines="0" w:before="0" w:after="0" w:line="240" w:lineRule="auto"/>
        <w:jc w:val="both"/>
        <w:rPr>
          <w:rFonts w:ascii="Times" w:eastAsia="Batang" w:hAnsi="Times"/>
          <w:sz w:val="21"/>
          <w:szCs w:val="20"/>
          <w:highlight w:val="green"/>
          <w:u w:val="single"/>
          <w:lang w:eastAsia="en-US"/>
        </w:rPr>
      </w:pPr>
      <w:r>
        <w:rPr>
          <w:rFonts w:ascii="Times" w:eastAsia="Batang" w:hAnsi="Times"/>
          <w:sz w:val="21"/>
          <w:szCs w:val="20"/>
          <w:highlight w:val="green"/>
          <w:u w:val="single"/>
          <w:lang w:eastAsia="en-US"/>
        </w:rPr>
        <w:t>Agreements:</w:t>
      </w:r>
    </w:p>
    <w:p w:rsidR="00DD5D61" w:rsidRDefault="00E0333C">
      <w:pPr>
        <w:pStyle w:val="BodyText"/>
        <w:numPr>
          <w:ilvl w:val="0"/>
          <w:numId w:val="4"/>
        </w:numPr>
        <w:snapToGrid w:val="0"/>
        <w:spacing w:beforeLines="0" w:before="0" w:after="0" w:line="240" w:lineRule="auto"/>
        <w:ind w:hanging="363"/>
        <w:jc w:val="both"/>
        <w:rPr>
          <w:rFonts w:ascii="Times" w:eastAsia="Batang" w:hAnsi="Times"/>
          <w:szCs w:val="18"/>
          <w:lang w:eastAsia="en-US"/>
        </w:rPr>
      </w:pPr>
      <w:r>
        <w:rPr>
          <w:rFonts w:ascii="Times" w:eastAsia="Batang" w:hAnsi="Times"/>
          <w:szCs w:val="18"/>
          <w:lang w:eastAsia="en-US"/>
        </w:rPr>
        <w:t>If associated SSB is not configured:</w:t>
      </w:r>
    </w:p>
    <w:p w:rsidR="00DD5D61" w:rsidRDefault="00E0333C">
      <w:pPr>
        <w:pStyle w:val="BodyText"/>
        <w:numPr>
          <w:ilvl w:val="1"/>
          <w:numId w:val="4"/>
        </w:numPr>
        <w:snapToGrid w:val="0"/>
        <w:spacing w:beforeLines="0" w:before="0" w:after="0" w:line="240" w:lineRule="auto"/>
        <w:ind w:hanging="363"/>
        <w:jc w:val="both"/>
        <w:rPr>
          <w:rFonts w:ascii="Times" w:eastAsia="Batang" w:hAnsi="Times"/>
          <w:szCs w:val="18"/>
          <w:lang w:eastAsia="en-US"/>
        </w:rPr>
      </w:pPr>
      <w:r>
        <w:rPr>
          <w:rFonts w:ascii="Times" w:eastAsia="Batang" w:hAnsi="Times"/>
          <w:szCs w:val="18"/>
          <w:lang w:eastAsia="en-US"/>
        </w:rPr>
        <w:t>UE is required to perform measurements based on CSI-RS(s), even if SS/PBCH block(s) with corresponding cell ID are not detected.</w:t>
      </w:r>
    </w:p>
    <w:p w:rsidR="00DD5D61" w:rsidRDefault="00E0333C">
      <w:pPr>
        <w:pStyle w:val="BodyText"/>
        <w:numPr>
          <w:ilvl w:val="1"/>
          <w:numId w:val="4"/>
        </w:numPr>
        <w:snapToGrid w:val="0"/>
        <w:spacing w:beforeLines="0" w:before="0" w:after="0" w:line="240" w:lineRule="auto"/>
        <w:ind w:hanging="363"/>
        <w:jc w:val="both"/>
        <w:rPr>
          <w:rFonts w:ascii="Times" w:eastAsia="Batang" w:hAnsi="Times"/>
          <w:szCs w:val="18"/>
          <w:lang w:eastAsia="en-US"/>
        </w:rPr>
      </w:pPr>
      <w:r>
        <w:rPr>
          <w:rFonts w:ascii="Times" w:eastAsia="Batang" w:hAnsi="Times"/>
          <w:szCs w:val="18"/>
          <w:lang w:eastAsia="en-US"/>
        </w:rPr>
        <w:t>UE shall base the timing of th</w:t>
      </w:r>
      <w:r>
        <w:rPr>
          <w:rFonts w:ascii="Times" w:eastAsia="Batang" w:hAnsi="Times"/>
          <w:szCs w:val="18"/>
          <w:lang w:eastAsia="en-US"/>
        </w:rPr>
        <w:t>e CSI-RS resource(s) to the timing of the serving cell.</w:t>
      </w:r>
    </w:p>
    <w:p w:rsidR="00DD5D61" w:rsidRDefault="00E0333C">
      <w:pPr>
        <w:pStyle w:val="BodyText"/>
        <w:numPr>
          <w:ilvl w:val="0"/>
          <w:numId w:val="4"/>
        </w:numPr>
        <w:snapToGrid w:val="0"/>
        <w:spacing w:beforeLines="0" w:before="0" w:after="0" w:line="240" w:lineRule="auto"/>
        <w:ind w:hanging="363"/>
        <w:jc w:val="both"/>
        <w:rPr>
          <w:rFonts w:ascii="Times" w:eastAsia="Batang" w:hAnsi="Times"/>
          <w:szCs w:val="18"/>
          <w:lang w:eastAsia="en-US"/>
        </w:rPr>
      </w:pPr>
      <w:r>
        <w:rPr>
          <w:rFonts w:ascii="Times" w:eastAsia="Batang" w:hAnsi="Times"/>
          <w:szCs w:val="18"/>
          <w:lang w:eastAsia="en-US"/>
        </w:rPr>
        <w:t>If associated SSB is configured:</w:t>
      </w:r>
    </w:p>
    <w:p w:rsidR="00DD5D61" w:rsidRDefault="00E0333C">
      <w:pPr>
        <w:pStyle w:val="BodyText"/>
        <w:numPr>
          <w:ilvl w:val="1"/>
          <w:numId w:val="4"/>
        </w:numPr>
        <w:snapToGrid w:val="0"/>
        <w:spacing w:beforeLines="0" w:before="0" w:after="0" w:line="240" w:lineRule="auto"/>
        <w:ind w:hanging="363"/>
        <w:jc w:val="both"/>
        <w:rPr>
          <w:rFonts w:ascii="Times" w:eastAsia="Batang" w:hAnsi="Times"/>
          <w:szCs w:val="18"/>
          <w:lang w:eastAsia="en-US"/>
        </w:rPr>
      </w:pPr>
      <w:r>
        <w:rPr>
          <w:rFonts w:ascii="Times" w:eastAsia="Batang" w:hAnsi="Times"/>
          <w:szCs w:val="18"/>
          <w:lang w:eastAsia="en-US"/>
        </w:rPr>
        <w:t>UE may base the timing of the CSI-RS resource(s) to the timing of the cell, given by the Cell_ID of the CSI-RS resource configuration.</w:t>
      </w:r>
    </w:p>
    <w:p w:rsidR="00DD5D61" w:rsidRDefault="00E0333C">
      <w:pPr>
        <w:pStyle w:val="BodyText"/>
        <w:numPr>
          <w:ilvl w:val="1"/>
          <w:numId w:val="4"/>
        </w:numPr>
        <w:snapToGrid w:val="0"/>
        <w:spacing w:beforeLines="0" w:before="0" w:after="0" w:line="240" w:lineRule="auto"/>
        <w:ind w:hanging="363"/>
        <w:jc w:val="both"/>
      </w:pPr>
      <w:r>
        <w:rPr>
          <w:rFonts w:ascii="Times" w:eastAsia="Batang" w:hAnsi="Times"/>
          <w:szCs w:val="18"/>
          <w:lang w:eastAsia="en-US"/>
        </w:rPr>
        <w:t xml:space="preserve">Additionally, if the associated </w:t>
      </w:r>
      <w:r>
        <w:rPr>
          <w:rFonts w:ascii="Times" w:eastAsia="Batang" w:hAnsi="Times"/>
          <w:szCs w:val="18"/>
          <w:lang w:eastAsia="en-US"/>
        </w:rPr>
        <w:t>SS/PBCH block is configured, the higher layer parameter qcled-SSB further indicates whether or not the associated SS/PBCH block and the CSI-RS resource(s) are quasi co-located with the associated SS/PBCH block with respect to [spatial RX parameters].</w:t>
      </w:r>
    </w:p>
    <w:p w:rsidR="00DD5D61" w:rsidRDefault="00E0333C">
      <w:pPr>
        <w:spacing w:before="156"/>
        <w:rPr>
          <w:rFonts w:ascii="Times" w:eastAsia="Batang" w:hAnsi="Times"/>
          <w:kern w:val="0"/>
          <w:szCs w:val="20"/>
          <w:highlight w:val="green"/>
          <w:lang w:eastAsia="en-US"/>
        </w:rPr>
      </w:pPr>
      <w:r>
        <w:rPr>
          <w:rFonts w:hint="eastAsia"/>
        </w:rPr>
        <w:t>In RA</w:t>
      </w:r>
      <w:r>
        <w:rPr>
          <w:rFonts w:hint="eastAsia"/>
        </w:rPr>
        <w:t>N1 #AH2 meeting, following agreements are made for useServingCellTimingForSync.</w:t>
      </w:r>
    </w:p>
    <w:p w:rsidR="00DD5D61" w:rsidRDefault="00E0333C">
      <w:pPr>
        <w:pStyle w:val="BodyText"/>
        <w:spacing w:beforeLines="0" w:before="0" w:after="0" w:line="240" w:lineRule="auto"/>
        <w:jc w:val="both"/>
        <w:rPr>
          <w:rFonts w:ascii="Times" w:eastAsia="Batang" w:hAnsi="Times"/>
          <w:sz w:val="21"/>
          <w:szCs w:val="20"/>
          <w:highlight w:val="green"/>
          <w:u w:val="single"/>
          <w:lang w:eastAsia="ja-JP"/>
        </w:rPr>
      </w:pPr>
      <w:r>
        <w:rPr>
          <w:rFonts w:ascii="Times" w:eastAsia="Batang" w:hAnsi="Times" w:hint="eastAsia"/>
          <w:sz w:val="21"/>
          <w:szCs w:val="20"/>
          <w:highlight w:val="green"/>
          <w:u w:val="single"/>
          <w:lang w:eastAsia="ja-JP"/>
        </w:rPr>
        <w:t>Agreements:</w:t>
      </w:r>
    </w:p>
    <w:p w:rsidR="00DD5D61" w:rsidRDefault="00E0333C">
      <w:pPr>
        <w:pStyle w:val="BodyText"/>
        <w:numPr>
          <w:ilvl w:val="0"/>
          <w:numId w:val="4"/>
        </w:numPr>
        <w:snapToGrid w:val="0"/>
        <w:spacing w:beforeLines="0" w:before="0" w:after="0" w:line="240" w:lineRule="auto"/>
        <w:ind w:hanging="363"/>
        <w:jc w:val="both"/>
        <w:rPr>
          <w:rFonts w:ascii="Times" w:eastAsia="Batang" w:hAnsi="Times"/>
          <w:szCs w:val="18"/>
          <w:lang w:eastAsia="ja-JP"/>
        </w:rPr>
      </w:pPr>
      <w:r>
        <w:rPr>
          <w:rFonts w:ascii="Times" w:eastAsia="Batang" w:hAnsi="Times" w:hint="eastAsia"/>
          <w:szCs w:val="18"/>
          <w:lang w:eastAsia="ja-JP"/>
        </w:rPr>
        <w:t>An indication related to the synchronization information  is provided to the UE</w:t>
      </w:r>
    </w:p>
    <w:p w:rsidR="00DD5D61" w:rsidRDefault="00E0333C">
      <w:pPr>
        <w:pStyle w:val="BodyText"/>
        <w:numPr>
          <w:ilvl w:val="1"/>
          <w:numId w:val="4"/>
        </w:numPr>
        <w:snapToGrid w:val="0"/>
        <w:spacing w:beforeLines="0" w:before="0" w:after="0" w:line="240" w:lineRule="auto"/>
        <w:ind w:hanging="363"/>
        <w:jc w:val="both"/>
        <w:rPr>
          <w:rFonts w:ascii="Times" w:eastAsia="Batang" w:hAnsi="Times"/>
          <w:szCs w:val="18"/>
          <w:lang w:eastAsia="ja-JP"/>
        </w:rPr>
      </w:pPr>
      <w:r>
        <w:rPr>
          <w:rFonts w:ascii="Times" w:eastAsia="Batang" w:hAnsi="Times" w:hint="eastAsia"/>
          <w:szCs w:val="18"/>
          <w:lang w:eastAsia="ja-JP"/>
        </w:rPr>
        <w:t xml:space="preserve">When there is the indication for a carrier, UE can utilize serving cell timing to derive the index of SS block transmitted by </w:t>
      </w:r>
      <w:r>
        <w:rPr>
          <w:rFonts w:ascii="Times" w:eastAsia="Batang" w:hAnsi="Times"/>
          <w:szCs w:val="18"/>
          <w:lang w:eastAsia="ja-JP"/>
        </w:rPr>
        <w:t>neighbour</w:t>
      </w:r>
      <w:r>
        <w:rPr>
          <w:rFonts w:ascii="Times" w:eastAsia="Batang" w:hAnsi="Times" w:hint="eastAsia"/>
          <w:szCs w:val="18"/>
          <w:lang w:eastAsia="ja-JP"/>
        </w:rPr>
        <w:t xml:space="preserve"> cell (</w:t>
      </w:r>
      <w:r>
        <w:rPr>
          <w:rFonts w:ascii="Times" w:eastAsia="Batang" w:hAnsi="Times" w:hint="eastAsia"/>
          <w:szCs w:val="18"/>
          <w:highlight w:val="yellow"/>
          <w:lang w:eastAsia="ja-JP"/>
        </w:rPr>
        <w:t>e.g., radio frame or SFN or symbol level synchronization</w:t>
      </w:r>
      <w:r>
        <w:rPr>
          <w:rFonts w:ascii="Times" w:eastAsia="Batang" w:hAnsi="Times" w:hint="eastAsia"/>
          <w:szCs w:val="18"/>
          <w:lang w:eastAsia="ja-JP"/>
        </w:rPr>
        <w:t>)</w:t>
      </w:r>
    </w:p>
    <w:p w:rsidR="00DD5D61" w:rsidRDefault="00E0333C">
      <w:pPr>
        <w:pStyle w:val="BodyText"/>
        <w:numPr>
          <w:ilvl w:val="1"/>
          <w:numId w:val="4"/>
        </w:numPr>
        <w:snapToGrid w:val="0"/>
        <w:spacing w:beforeLines="0" w:before="0" w:after="0" w:line="240" w:lineRule="auto"/>
        <w:ind w:hanging="363"/>
        <w:jc w:val="both"/>
        <w:rPr>
          <w:rFonts w:ascii="Times" w:eastAsia="Batang" w:hAnsi="Times"/>
          <w:szCs w:val="18"/>
          <w:lang w:eastAsia="ja-JP"/>
        </w:rPr>
      </w:pPr>
      <w:r>
        <w:rPr>
          <w:rFonts w:ascii="Times" w:eastAsia="Batang" w:hAnsi="Times" w:hint="eastAsia"/>
          <w:szCs w:val="18"/>
          <w:lang w:eastAsia="ja-JP"/>
        </w:rPr>
        <w:t xml:space="preserve">Note that it is up to </w:t>
      </w:r>
      <w:r>
        <w:rPr>
          <w:rFonts w:ascii="Times" w:eastAsia="Batang" w:hAnsi="Times"/>
          <w:szCs w:val="18"/>
          <w:lang w:eastAsia="ja-JP"/>
        </w:rPr>
        <w:t xml:space="preserve">RAN2 </w:t>
      </w:r>
      <w:r>
        <w:rPr>
          <w:rFonts w:ascii="Times" w:eastAsia="Batang" w:hAnsi="Times" w:hint="eastAsia"/>
          <w:szCs w:val="18"/>
          <w:lang w:eastAsia="ja-JP"/>
        </w:rPr>
        <w:t>how to provide this indicatio</w:t>
      </w:r>
      <w:r>
        <w:rPr>
          <w:rFonts w:ascii="Times" w:eastAsia="Batang" w:hAnsi="Times" w:hint="eastAsia"/>
          <w:szCs w:val="18"/>
          <w:lang w:eastAsia="ja-JP"/>
        </w:rPr>
        <w:t>n</w:t>
      </w:r>
    </w:p>
    <w:p w:rsidR="00DD5D61" w:rsidRDefault="00E0333C">
      <w:pPr>
        <w:pStyle w:val="BodyText"/>
        <w:numPr>
          <w:ilvl w:val="1"/>
          <w:numId w:val="4"/>
        </w:numPr>
        <w:snapToGrid w:val="0"/>
        <w:spacing w:beforeLines="0" w:before="0" w:after="0" w:line="240" w:lineRule="auto"/>
        <w:ind w:hanging="363"/>
        <w:jc w:val="both"/>
        <w:rPr>
          <w:rFonts w:ascii="Times" w:eastAsia="Batang" w:hAnsi="Times"/>
          <w:szCs w:val="18"/>
          <w:lang w:eastAsia="ja-JP"/>
        </w:rPr>
      </w:pPr>
      <w:r>
        <w:rPr>
          <w:rFonts w:ascii="Times" w:eastAsia="Batang" w:hAnsi="Times" w:hint="eastAsia"/>
          <w:szCs w:val="18"/>
          <w:lang w:eastAsia="ja-JP"/>
        </w:rPr>
        <w:t>Note that it is up to RAN4 about the feasibility of synchronization and its requirement</w:t>
      </w:r>
    </w:p>
    <w:p w:rsidR="00DD5D61" w:rsidRDefault="00E0333C">
      <w:pPr>
        <w:spacing w:before="156"/>
      </w:pPr>
      <w:r>
        <w:rPr>
          <w:rFonts w:hint="eastAsia"/>
        </w:rPr>
        <w:t xml:space="preserve">In this contribution, </w:t>
      </w:r>
      <w:r>
        <w:rPr>
          <w:rFonts w:hint="eastAsia"/>
        </w:rPr>
        <w:t xml:space="preserve">we shared more views on the relationship between ssb-ToMeasure bitmap and SMTC </w:t>
      </w:r>
      <w:r>
        <w:rPr>
          <w:rFonts w:hint="eastAsia"/>
        </w:rPr>
        <w:lastRenderedPageBreak/>
        <w:t>configuration in MO, and discussed the UE behaviour upon receivin</w:t>
      </w:r>
      <w:r>
        <w:rPr>
          <w:rFonts w:hint="eastAsia"/>
        </w:rPr>
        <w:t>g the ssb-ToMeasure IE.</w:t>
      </w:r>
    </w:p>
    <w:p w:rsidR="00DD5D61" w:rsidRDefault="00E0333C">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 on SSB-ToMeasure bitmap</w:t>
      </w:r>
    </w:p>
    <w:p w:rsidR="00DD5D61" w:rsidRDefault="00E0333C">
      <w:pPr>
        <w:spacing w:before="156"/>
      </w:pPr>
      <w:r>
        <w:rPr>
          <w:rFonts w:hint="eastAsia"/>
        </w:rPr>
        <w:t xml:space="preserve">In current ASN.1, except SMTC window configuration(i.e. window period/offset/duration), network can indicates an </w:t>
      </w:r>
      <w:r>
        <w:t>“</w:t>
      </w:r>
      <w:r>
        <w:rPr>
          <w:rFonts w:hint="eastAsia"/>
        </w:rPr>
        <w:t>ssb-ToMeasure bitmap</w:t>
      </w:r>
      <w:r>
        <w:t>”</w:t>
      </w:r>
      <w:r>
        <w:rPr>
          <w:rFonts w:hint="eastAsia"/>
        </w:rPr>
        <w:t xml:space="preserve"> in MO paralleled with SMTC configuration, see the ASN.1 below:</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themeColor="background1" w:themeShade="80"/>
          <w:szCs w:val="22"/>
        </w:rPr>
      </w:pPr>
      <w:bookmarkStart w:id="2" w:name="_Hlk496184822"/>
      <w:bookmarkStart w:id="3" w:name="_Hlk496185501"/>
      <w:r>
        <w:rPr>
          <w:color w:val="808080" w:themeColor="background1" w:themeShade="80"/>
          <w:szCs w:val="22"/>
        </w:rPr>
        <w:t>-- A measurement timing configuration</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 xml:space="preserve">SSB-ConfigMobility ::= </w:t>
      </w:r>
      <w:r>
        <w:tab/>
      </w:r>
      <w:r>
        <w:rPr>
          <w:color w:val="993366"/>
        </w:rPr>
        <w:t>SEQUENCE</w:t>
      </w:r>
      <w:r>
        <w:t xml:space="preserve"> {</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ab/>
      </w:r>
      <w:r>
        <w:tab/>
        <w:t>subcarrierSpacingSSB                    SubcarrierSpacingSSB,</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r>
      <w:r>
        <w:tab/>
      </w:r>
      <w:r>
        <w:rPr>
          <w:color w:val="808080"/>
        </w:rPr>
        <w:t xml:space="preserve">-- The set of SS blocks to be measured within the SMTC measurement duration. </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r>
      <w:r>
        <w:tab/>
      </w:r>
      <w:r>
        <w:rPr>
          <w:color w:val="808080"/>
        </w:rPr>
        <w:t>-- Corresponds to L1 parameter 'SSB-measured' (see FFS_Spec, section FFS_Section)</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r>
      <w:r>
        <w:tab/>
      </w:r>
      <w:r>
        <w:rPr>
          <w:color w:val="808080"/>
        </w:rPr>
        <w:t xml:space="preserve">-- When the field is absent the UE measures on all SS-blocks </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ab/>
      </w:r>
      <w:r>
        <w:tab/>
      </w:r>
      <w:r>
        <w:rPr>
          <w:color w:val="808080"/>
        </w:rPr>
        <w:t>-- FFS_CHECK: Is this IE pla</w:t>
      </w:r>
      <w:r>
        <w:rPr>
          <w:color w:val="808080"/>
        </w:rPr>
        <w:t>ced correctly.</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ab/>
      </w:r>
      <w:r>
        <w:tab/>
      </w:r>
      <w:r>
        <w:rPr>
          <w:highlight w:val="yellow"/>
        </w:rPr>
        <w:t>ssb-ToMeasure</w:t>
      </w:r>
      <w:r>
        <w:tab/>
      </w:r>
      <w:r>
        <w:tab/>
      </w:r>
      <w:r>
        <w:tab/>
      </w:r>
      <w:r>
        <w:tab/>
      </w:r>
      <w:r>
        <w:tab/>
      </w:r>
      <w:r>
        <w:tab/>
      </w:r>
      <w:r>
        <w:tab/>
        <w:t xml:space="preserve">SetupRelease { </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ab/>
      </w:r>
      <w:r>
        <w:tab/>
      </w:r>
      <w:r>
        <w:tab/>
      </w:r>
      <w:r>
        <w:rPr>
          <w:color w:val="993366"/>
        </w:rPr>
        <w:t>CHOICE</w:t>
      </w:r>
      <w:r>
        <w:t xml:space="preserve"> {</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r>
      <w:r>
        <w:tab/>
      </w:r>
      <w:r>
        <w:tab/>
      </w:r>
      <w:r>
        <w:tab/>
      </w:r>
      <w:r>
        <w:rPr>
          <w:color w:val="808080"/>
        </w:rPr>
        <w:t>-- bitmap for sub 3 GHz</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ab/>
      </w:r>
      <w:r>
        <w:tab/>
      </w:r>
      <w:r>
        <w:tab/>
      </w:r>
      <w:r>
        <w:tab/>
        <w:t>shortBitmap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r>
      <w:r>
        <w:tab/>
      </w:r>
      <w:r>
        <w:tab/>
      </w:r>
      <w:r>
        <w:tab/>
      </w:r>
      <w:r>
        <w:rPr>
          <w:color w:val="808080"/>
        </w:rPr>
        <w:t>-- bitmap for 3-6 GHz</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ab/>
      </w:r>
      <w:r>
        <w:tab/>
      </w:r>
      <w:r>
        <w:tab/>
      </w:r>
      <w:r>
        <w:tab/>
        <w:t>mediumBitmap</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(8)),</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r>
      <w:r>
        <w:tab/>
      </w:r>
      <w:r>
        <w:tab/>
      </w:r>
      <w:r>
        <w:tab/>
      </w:r>
      <w:r>
        <w:rPr>
          <w:color w:val="808080"/>
        </w:rPr>
        <w:t>-- bitmap for above 6 GHz</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ab/>
      </w:r>
      <w:r>
        <w:tab/>
      </w:r>
      <w:r>
        <w:tab/>
      </w:r>
      <w:r>
        <w:tab/>
        <w:t>longBitmap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(64))</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ab/>
      </w:r>
      <w:r>
        <w:tab/>
      </w:r>
      <w:r>
        <w:tab/>
        <w:t>}</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ab/>
      </w:r>
      <w:r>
        <w:tab/>
        <w:t xml:space="preserve">} </w:t>
      </w:r>
      <w:r>
        <w:tab/>
      </w:r>
      <w:r>
        <w:tab/>
      </w:r>
      <w:r>
        <w:tab/>
      </w:r>
      <w:r>
        <w:tab/>
      </w:r>
      <w:r>
        <w:tab/>
      </w:r>
      <w:r>
        <w:tab/>
      </w:r>
      <w:r>
        <w:tab/>
      </w:r>
      <w:r>
        <w:tab/>
      </w:r>
      <w:r>
        <w:tab/>
      </w:r>
      <w:r>
        <w:tab/>
      </w:r>
      <w:r>
        <w:tab/>
      </w:r>
      <w:r>
        <w:tab/>
      </w:r>
      <w:r>
        <w:tab/>
      </w:r>
      <w:r>
        <w:tab/>
      </w:r>
      <w:r>
        <w:tab/>
      </w:r>
      <w:r>
        <w:tab/>
      </w:r>
      <w:r>
        <w:tab/>
      </w:r>
      <w:r>
        <w:rPr>
          <w:color w:val="993366"/>
        </w:rPr>
        <w:t>OPTIONAL,</w:t>
      </w:r>
      <w:r>
        <w:tab/>
      </w:r>
      <w:r>
        <w:rPr>
          <w:color w:val="808080"/>
        </w:rPr>
        <w:t>-- Need M</w:t>
      </w:r>
    </w:p>
    <w:p w:rsidR="00DD5D61" w:rsidRDefault="00DD5D61">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r>
      <w:r>
        <w:rPr>
          <w:color w:val="808080"/>
        </w:rPr>
        <w:t>-- Indicates whether the UE can utilize serving cell timing to derive the index of SS block transmitted by neighbour cell:</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ab/>
      </w:r>
      <w:r>
        <w:t>useServingCellTimingForSync</w:t>
      </w:r>
      <w:r>
        <w:tab/>
      </w:r>
      <w:r>
        <w:tab/>
      </w:r>
      <w:r>
        <w:tab/>
      </w:r>
      <w:r>
        <w:tab/>
      </w:r>
      <w:r>
        <w:rPr>
          <w:color w:val="993366"/>
        </w:rPr>
        <w:t>BOOLEAN,</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r>
      <w:r>
        <w:rPr>
          <w:color w:val="808080"/>
        </w:rPr>
        <w:t xml:space="preserve">-- Primary measurement timing configuration. Applicable for intra- and inter-frequency measurements. </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ab/>
        <w:t>smtc1</w:t>
      </w:r>
      <w:r>
        <w:tab/>
      </w:r>
      <w:r>
        <w:tab/>
      </w:r>
      <w:r>
        <w:tab/>
      </w:r>
      <w:r>
        <w:tab/>
      </w:r>
      <w:r>
        <w:tab/>
      </w:r>
      <w:r>
        <w:tab/>
      </w:r>
      <w:r>
        <w:tab/>
      </w:r>
      <w:r>
        <w:tab/>
      </w:r>
      <w:r>
        <w:tab/>
      </w:r>
      <w:r>
        <w:rPr>
          <w:color w:val="993366"/>
        </w:rPr>
        <w:t>SEQUENCE</w:t>
      </w:r>
      <w:r>
        <w:t xml:space="preserve"> {</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r>
      <w:r>
        <w:tab/>
      </w:r>
      <w:r>
        <w:rPr>
          <w:color w:val="808080"/>
        </w:rPr>
        <w:t xml:space="preserve">-- Periodicity and offset of the measurement window in which to receive SS/PBCH blocks. </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r>
      <w:r>
        <w:tab/>
      </w:r>
      <w:r>
        <w:rPr>
          <w:color w:val="808080"/>
        </w:rPr>
        <w:t>-- Periodicity and offset</w:t>
      </w:r>
      <w:r>
        <w:rPr>
          <w:color w:val="808080"/>
        </w:rPr>
        <w:t xml:space="preserve"> are given in number of subframes.</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r>
      <w:r>
        <w:tab/>
      </w:r>
      <w:r>
        <w:rPr>
          <w:color w:val="808080"/>
        </w:rPr>
        <w:t xml:space="preserve">-- FFS_FIXME: This does not match the L1 parameter table! They seem to intend an index to a hidden table in L1 specs. </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r>
      <w:r>
        <w:tab/>
      </w:r>
      <w:r>
        <w:rPr>
          <w:color w:val="808080"/>
        </w:rPr>
        <w:t>-- (see 38.213, section REF):</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ab/>
      </w:r>
      <w:r>
        <w:tab/>
        <w:t>periodicityAndOffset</w:t>
      </w:r>
      <w:r>
        <w:tab/>
      </w:r>
      <w:r>
        <w:tab/>
      </w:r>
      <w:r>
        <w:tab/>
      </w:r>
      <w:r>
        <w:tab/>
      </w:r>
      <w:r>
        <w:tab/>
      </w:r>
      <w:r>
        <w:rPr>
          <w:color w:val="993366"/>
        </w:rPr>
        <w:t>CHOICE</w:t>
      </w:r>
      <w:r>
        <w:t xml:space="preserve"> {</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lang w:val="de-DE"/>
        </w:rPr>
      </w:pPr>
      <w:r>
        <w:rPr>
          <w:lang w:val="de-DE"/>
        </w:rPr>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rPr>
          <w:lang w:val="de-DE"/>
        </w:rPr>
        <w:tab/>
      </w:r>
      <w:r>
        <w:rPr>
          <w:lang w:val="de-DE"/>
        </w:rPr>
        <w:tab/>
      </w:r>
      <w:r>
        <w:t>},</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r>
      <w:r>
        <w:tab/>
      </w:r>
      <w:r>
        <w:rPr>
          <w:color w:val="808080"/>
        </w:rPr>
        <w:t>-- Duration of the measurement window in which to receive SS/PBCH blocks. It is give</w:t>
      </w:r>
      <w:r>
        <w:rPr>
          <w:color w:val="808080"/>
        </w:rPr>
        <w:t xml:space="preserve">n in number of subframes </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r>
      <w:r>
        <w:tab/>
      </w:r>
      <w:r>
        <w:rPr>
          <w:color w:val="808080"/>
        </w:rPr>
        <w:t>-- (see 38.213, section 4.1)</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ab/>
      </w:r>
      <w:r>
        <w:tab/>
      </w:r>
      <w:r>
        <w:rPr>
          <w:highlight w:val="yellow"/>
        </w:rPr>
        <w:t>duration</w:t>
      </w:r>
      <w:r>
        <w:tab/>
      </w:r>
      <w:r>
        <w:tab/>
      </w:r>
      <w:r>
        <w:tab/>
      </w:r>
      <w:r>
        <w:tab/>
      </w:r>
      <w:r>
        <w:tab/>
      </w:r>
      <w:r>
        <w:tab/>
      </w:r>
      <w:r>
        <w:tab/>
      </w:r>
      <w:r>
        <w:tab/>
      </w:r>
      <w:r>
        <w:rPr>
          <w:color w:val="993366"/>
        </w:rPr>
        <w:t>ENUMERATED</w:t>
      </w:r>
      <w:r>
        <w:t xml:space="preserve"> { sf1, sf2, sf3, sf4, sf5 }</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rPr>
          <w:color w:val="808080"/>
        </w:rPr>
        <w:tab/>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ab/>
        <w:t>},</w:t>
      </w:r>
    </w:p>
    <w:bookmarkEnd w:id="2"/>
    <w:p w:rsidR="00DD5D61" w:rsidRDefault="00DD5D61">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p>
    <w:bookmarkEnd w:id="3"/>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r>
      <w:r>
        <w:rPr>
          <w:color w:val="808080"/>
        </w:rPr>
        <w:t>-- Secondary measurement timing confguration for explicitly signalled PCIs. It uses the offset and duration from smtc1.</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r>
      <w:r>
        <w:rPr>
          <w:color w:val="808080"/>
        </w:rPr>
        <w:t>-- It is supp</w:t>
      </w:r>
      <w:r>
        <w:rPr>
          <w:color w:val="808080"/>
        </w:rPr>
        <w:t xml:space="preserve">orted only for intra-frequency measurements in RRC CONNECTED. </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ab/>
        <w:t xml:space="preserve">smtc2 </w:t>
      </w:r>
      <w:r>
        <w:tab/>
      </w:r>
      <w:r>
        <w:tab/>
      </w:r>
      <w:r>
        <w:tab/>
      </w:r>
      <w:r>
        <w:tab/>
      </w:r>
      <w:r>
        <w:tab/>
      </w:r>
      <w:r>
        <w:tab/>
      </w:r>
      <w:r>
        <w:tab/>
      </w:r>
      <w:r>
        <w:rPr>
          <w:color w:val="993366"/>
        </w:rPr>
        <w:t>SEQUENCE</w:t>
      </w:r>
      <w:r>
        <w:t xml:space="preserve"> {</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r>
      <w:r>
        <w:tab/>
      </w:r>
      <w:r>
        <w:rPr>
          <w:color w:val="808080"/>
        </w:rPr>
        <w:t>-- PCIs that are known to follow this SMTC.</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ab/>
      </w:r>
      <w:r>
        <w:tab/>
        <w:t>pci-List</w:t>
      </w:r>
      <w:r>
        <w:tab/>
      </w:r>
      <w:r>
        <w:tab/>
      </w:r>
      <w:r>
        <w:tab/>
      </w:r>
      <w:r>
        <w:tab/>
      </w:r>
      <w:r>
        <w:tab/>
      </w:r>
      <w:r>
        <w:tab/>
      </w:r>
      <w:r>
        <w:rPr>
          <w:color w:val="993366"/>
        </w:rPr>
        <w:t>SEQUENCE</w:t>
      </w:r>
      <w:r>
        <w:t xml:space="preserve"> (</w:t>
      </w:r>
      <w:r>
        <w:rPr>
          <w:color w:val="993366"/>
        </w:rPr>
        <w:t>SIZE</w:t>
      </w:r>
      <w:r>
        <w:t xml:space="preserve"> (1..maxNrofPCIsPerSMTC))</w:t>
      </w:r>
      <w:r>
        <w:rPr>
          <w:color w:val="993366"/>
        </w:rPr>
        <w:t xml:space="preserve"> OF</w:t>
      </w:r>
      <w:r>
        <w:t xml:space="preserve"> PhysCellId</w:t>
      </w:r>
      <w:r>
        <w:tab/>
      </w:r>
      <w:r>
        <w:tab/>
      </w:r>
      <w:r>
        <w:rPr>
          <w:color w:val="993366"/>
        </w:rPr>
        <w:t>OPTIONAL,</w:t>
      </w:r>
      <w:r>
        <w:t xml:space="preserve"> </w:t>
      </w:r>
      <w:r>
        <w:tab/>
      </w:r>
      <w:r>
        <w:rPr>
          <w:color w:val="808080"/>
        </w:rPr>
        <w:t>-- Need M</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r>
      <w:r>
        <w:tab/>
      </w:r>
      <w:r>
        <w:rPr>
          <w:color w:val="808080"/>
        </w:rPr>
        <w:t>-- Periodicity for the given</w:t>
      </w:r>
      <w:r>
        <w:rPr>
          <w:color w:val="808080"/>
        </w:rPr>
        <w:t xml:space="preserve"> PCIs. Timing offset and Duration as provided in smtc1.</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ab/>
      </w:r>
      <w:r>
        <w:tab/>
        <w:t>periodicity</w:t>
      </w:r>
      <w:r>
        <w:tab/>
      </w:r>
      <w:r>
        <w:tab/>
      </w:r>
      <w:r>
        <w:tab/>
      </w:r>
      <w:r>
        <w:tab/>
      </w:r>
      <w:r>
        <w:tab/>
      </w:r>
      <w:r>
        <w:tab/>
        <w:t>ENUMERATED {sf5, sf10, sf20, sf40, sf80, sf160, spare2, spare1}</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rPr>
          <w:color w:val="808080"/>
        </w:rPr>
      </w:pPr>
      <w:r>
        <w:tab/>
        <w:t>}</w:t>
      </w:r>
      <w:r>
        <w:tab/>
      </w:r>
      <w:r>
        <w:tab/>
      </w:r>
      <w:r>
        <w:tab/>
      </w:r>
      <w:r>
        <w:tab/>
      </w:r>
      <w:r>
        <w:tab/>
      </w:r>
      <w:r>
        <w:tab/>
      </w:r>
      <w:r>
        <w:tab/>
      </w:r>
      <w:r>
        <w:tab/>
      </w:r>
      <w:r>
        <w:tab/>
      </w:r>
      <w:r>
        <w:tab/>
      </w:r>
      <w:r>
        <w:tab/>
      </w:r>
      <w:r>
        <w:tab/>
      </w:r>
      <w:r>
        <w:tab/>
      </w:r>
      <w:r>
        <w:tab/>
      </w:r>
      <w:r>
        <w:rPr>
          <w:color w:val="993366"/>
        </w:rPr>
        <w:t>OPTIONAL</w:t>
      </w:r>
      <w:r>
        <w:t xml:space="preserve"> </w:t>
      </w:r>
      <w:r>
        <w:rPr>
          <w:color w:val="808080"/>
        </w:rPr>
        <w:t>-- Cond IntraFreqConnected</w:t>
      </w:r>
    </w:p>
    <w:p w:rsidR="00DD5D61" w:rsidRDefault="00E0333C">
      <w:pPr>
        <w:pStyle w:val="PL"/>
        <w:shd w:val="clear" w:color="auto" w:fill="BFBFBF" w:themeFill="background1" w:themeFillShade="BF"/>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line="240" w:lineRule="auto"/>
      </w:pPr>
      <w:r>
        <w:t>}</w:t>
      </w:r>
    </w:p>
    <w:p w:rsidR="00DD5D61" w:rsidRDefault="00E0333C">
      <w:pPr>
        <w:spacing w:before="156"/>
      </w:pPr>
      <w:r>
        <w:rPr>
          <w:rFonts w:hint="eastAsia"/>
        </w:rPr>
        <w:t>According to RAN1 #90bis agreement, the network should anyway indicate the full bitmap of length L by ssb-ToMeasure IE, considering SSB transmission is various among different SCS and L(see Figure A in Annex),  we are able to derive the maximum length of S</w:t>
      </w:r>
      <w:r>
        <w:rPr>
          <w:rFonts w:hint="eastAsia"/>
        </w:rPr>
        <w:t xml:space="preserve">SB burst set based on the SCS and L, which is given by Table1. </w:t>
      </w:r>
    </w:p>
    <w:p w:rsidR="00DD5D61" w:rsidRDefault="00E0333C">
      <w:pPr>
        <w:pStyle w:val="Caption"/>
        <w:spacing w:before="156"/>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hint="eastAsia"/>
        </w:rPr>
        <w:t xml:space="preserve"> maximum length of SSB burst set</w:t>
      </w:r>
    </w:p>
    <w:tbl>
      <w:tblPr>
        <w:tblStyle w:val="TableGrid"/>
        <w:tblW w:w="5268" w:type="dxa"/>
        <w:jc w:val="center"/>
        <w:tblLayout w:type="fixed"/>
        <w:tblLook w:val="04A0" w:firstRow="1" w:lastRow="0" w:firstColumn="1" w:lastColumn="0" w:noHBand="0" w:noVBand="1"/>
      </w:tblPr>
      <w:tblGrid>
        <w:gridCol w:w="1323"/>
        <w:gridCol w:w="1192"/>
        <w:gridCol w:w="2753"/>
      </w:tblGrid>
      <w:tr w:rsidR="00DD5D61">
        <w:trPr>
          <w:trHeight w:val="393"/>
          <w:jc w:val="center"/>
        </w:trPr>
        <w:tc>
          <w:tcPr>
            <w:tcW w:w="1323" w:type="dxa"/>
          </w:tcPr>
          <w:p w:rsidR="00DD5D61" w:rsidRDefault="00E0333C">
            <w:pPr>
              <w:snapToGrid w:val="0"/>
              <w:spacing w:beforeLines="0" w:before="0" w:after="0" w:line="240" w:lineRule="auto"/>
              <w:rPr>
                <w:sz w:val="20"/>
                <w:szCs w:val="22"/>
              </w:rPr>
            </w:pPr>
            <w:r>
              <w:rPr>
                <w:rFonts w:hint="eastAsia"/>
                <w:sz w:val="20"/>
                <w:szCs w:val="22"/>
              </w:rPr>
              <w:t>SCS of SSB</w:t>
            </w:r>
          </w:p>
        </w:tc>
        <w:tc>
          <w:tcPr>
            <w:tcW w:w="1192" w:type="dxa"/>
          </w:tcPr>
          <w:p w:rsidR="00DD5D61" w:rsidRDefault="00E0333C">
            <w:pPr>
              <w:snapToGrid w:val="0"/>
              <w:spacing w:beforeLines="0" w:before="0" w:after="0" w:line="240" w:lineRule="auto"/>
              <w:jc w:val="center"/>
              <w:rPr>
                <w:sz w:val="20"/>
                <w:szCs w:val="22"/>
              </w:rPr>
            </w:pPr>
            <w:r>
              <w:rPr>
                <w:rFonts w:hint="eastAsia"/>
                <w:sz w:val="20"/>
                <w:szCs w:val="22"/>
              </w:rPr>
              <w:t>L</w:t>
            </w:r>
          </w:p>
        </w:tc>
        <w:tc>
          <w:tcPr>
            <w:tcW w:w="2753" w:type="dxa"/>
          </w:tcPr>
          <w:p w:rsidR="00DD5D61" w:rsidRDefault="00E0333C">
            <w:pPr>
              <w:snapToGrid w:val="0"/>
              <w:spacing w:beforeLines="0" w:before="0" w:after="0" w:line="240" w:lineRule="auto"/>
              <w:rPr>
                <w:sz w:val="20"/>
                <w:szCs w:val="22"/>
              </w:rPr>
            </w:pPr>
            <w:r>
              <w:rPr>
                <w:rFonts w:hint="eastAsia"/>
                <w:sz w:val="20"/>
                <w:szCs w:val="22"/>
              </w:rPr>
              <w:t>maximum length of SSB burst set (1ms granularity)</w:t>
            </w:r>
          </w:p>
        </w:tc>
      </w:tr>
      <w:tr w:rsidR="00DD5D61">
        <w:trPr>
          <w:trHeight w:val="399"/>
          <w:jc w:val="center"/>
        </w:trPr>
        <w:tc>
          <w:tcPr>
            <w:tcW w:w="1323" w:type="dxa"/>
            <w:vMerge w:val="restart"/>
          </w:tcPr>
          <w:p w:rsidR="00DD5D61" w:rsidRDefault="00E0333C">
            <w:pPr>
              <w:snapToGrid w:val="0"/>
              <w:spacing w:beforeLines="0" w:before="0" w:after="0" w:line="240" w:lineRule="auto"/>
              <w:rPr>
                <w:sz w:val="20"/>
                <w:szCs w:val="22"/>
              </w:rPr>
            </w:pPr>
            <w:r>
              <w:rPr>
                <w:rFonts w:hint="eastAsia"/>
                <w:sz w:val="20"/>
                <w:szCs w:val="22"/>
              </w:rPr>
              <w:t>15kHz</w:t>
            </w:r>
          </w:p>
        </w:tc>
        <w:tc>
          <w:tcPr>
            <w:tcW w:w="1192" w:type="dxa"/>
          </w:tcPr>
          <w:p w:rsidR="00DD5D61" w:rsidRDefault="00E0333C">
            <w:pPr>
              <w:snapToGrid w:val="0"/>
              <w:spacing w:beforeLines="0" w:before="0" w:after="0" w:line="240" w:lineRule="auto"/>
              <w:jc w:val="center"/>
              <w:rPr>
                <w:sz w:val="20"/>
                <w:szCs w:val="22"/>
              </w:rPr>
            </w:pPr>
            <w:r>
              <w:rPr>
                <w:rFonts w:hint="eastAsia"/>
                <w:sz w:val="20"/>
                <w:szCs w:val="22"/>
              </w:rPr>
              <w:t>4</w:t>
            </w:r>
          </w:p>
        </w:tc>
        <w:tc>
          <w:tcPr>
            <w:tcW w:w="2753" w:type="dxa"/>
          </w:tcPr>
          <w:p w:rsidR="00DD5D61" w:rsidRDefault="00E0333C">
            <w:pPr>
              <w:snapToGrid w:val="0"/>
              <w:spacing w:beforeLines="0" w:before="0" w:after="0" w:line="240" w:lineRule="auto"/>
              <w:rPr>
                <w:sz w:val="20"/>
                <w:szCs w:val="22"/>
              </w:rPr>
            </w:pPr>
            <w:r>
              <w:rPr>
                <w:rFonts w:hint="eastAsia"/>
                <w:sz w:val="20"/>
                <w:szCs w:val="22"/>
              </w:rPr>
              <w:t>2ms</w:t>
            </w:r>
          </w:p>
        </w:tc>
      </w:tr>
      <w:tr w:rsidR="00DD5D61">
        <w:trPr>
          <w:trHeight w:val="399"/>
          <w:jc w:val="center"/>
        </w:trPr>
        <w:tc>
          <w:tcPr>
            <w:tcW w:w="1323" w:type="dxa"/>
            <w:vMerge/>
          </w:tcPr>
          <w:p w:rsidR="00DD5D61" w:rsidRDefault="00DD5D61">
            <w:pPr>
              <w:snapToGrid w:val="0"/>
              <w:spacing w:beforeLines="0" w:before="0" w:after="0" w:line="240" w:lineRule="auto"/>
              <w:rPr>
                <w:sz w:val="20"/>
                <w:szCs w:val="22"/>
              </w:rPr>
            </w:pPr>
          </w:p>
        </w:tc>
        <w:tc>
          <w:tcPr>
            <w:tcW w:w="1192" w:type="dxa"/>
          </w:tcPr>
          <w:p w:rsidR="00DD5D61" w:rsidRDefault="00E0333C">
            <w:pPr>
              <w:snapToGrid w:val="0"/>
              <w:spacing w:beforeLines="0" w:before="0" w:after="0" w:line="240" w:lineRule="auto"/>
              <w:jc w:val="center"/>
              <w:rPr>
                <w:sz w:val="20"/>
                <w:szCs w:val="22"/>
              </w:rPr>
            </w:pPr>
            <w:r>
              <w:rPr>
                <w:rFonts w:hint="eastAsia"/>
                <w:sz w:val="20"/>
                <w:szCs w:val="22"/>
              </w:rPr>
              <w:t>8</w:t>
            </w:r>
          </w:p>
        </w:tc>
        <w:tc>
          <w:tcPr>
            <w:tcW w:w="2753" w:type="dxa"/>
          </w:tcPr>
          <w:p w:rsidR="00DD5D61" w:rsidRDefault="00E0333C">
            <w:pPr>
              <w:snapToGrid w:val="0"/>
              <w:spacing w:beforeLines="0" w:before="0" w:after="0" w:line="240" w:lineRule="auto"/>
              <w:rPr>
                <w:sz w:val="20"/>
                <w:szCs w:val="22"/>
              </w:rPr>
            </w:pPr>
            <w:r>
              <w:rPr>
                <w:rFonts w:hint="eastAsia"/>
                <w:sz w:val="20"/>
                <w:szCs w:val="22"/>
              </w:rPr>
              <w:t>4ms</w:t>
            </w:r>
          </w:p>
        </w:tc>
      </w:tr>
      <w:tr w:rsidR="00DD5D61">
        <w:trPr>
          <w:trHeight w:val="399"/>
          <w:jc w:val="center"/>
        </w:trPr>
        <w:tc>
          <w:tcPr>
            <w:tcW w:w="1323" w:type="dxa"/>
            <w:vMerge w:val="restart"/>
          </w:tcPr>
          <w:p w:rsidR="00DD5D61" w:rsidRDefault="00E0333C">
            <w:pPr>
              <w:snapToGrid w:val="0"/>
              <w:spacing w:beforeLines="0" w:before="0" w:after="0" w:line="240" w:lineRule="auto"/>
              <w:rPr>
                <w:sz w:val="20"/>
                <w:szCs w:val="22"/>
              </w:rPr>
            </w:pPr>
            <w:r>
              <w:rPr>
                <w:rFonts w:hint="eastAsia"/>
                <w:sz w:val="20"/>
                <w:szCs w:val="22"/>
              </w:rPr>
              <w:t>30kHz</w:t>
            </w:r>
          </w:p>
        </w:tc>
        <w:tc>
          <w:tcPr>
            <w:tcW w:w="1192" w:type="dxa"/>
          </w:tcPr>
          <w:p w:rsidR="00DD5D61" w:rsidRDefault="00E0333C">
            <w:pPr>
              <w:snapToGrid w:val="0"/>
              <w:spacing w:beforeLines="0" w:before="0" w:after="0" w:line="240" w:lineRule="auto"/>
              <w:jc w:val="center"/>
              <w:rPr>
                <w:sz w:val="20"/>
                <w:szCs w:val="22"/>
              </w:rPr>
            </w:pPr>
            <w:r>
              <w:rPr>
                <w:rFonts w:hint="eastAsia"/>
                <w:sz w:val="20"/>
                <w:szCs w:val="22"/>
              </w:rPr>
              <w:t>4</w:t>
            </w:r>
          </w:p>
        </w:tc>
        <w:tc>
          <w:tcPr>
            <w:tcW w:w="2753" w:type="dxa"/>
          </w:tcPr>
          <w:p w:rsidR="00DD5D61" w:rsidRDefault="00E0333C">
            <w:pPr>
              <w:snapToGrid w:val="0"/>
              <w:spacing w:beforeLines="0" w:before="0" w:after="0" w:line="240" w:lineRule="auto"/>
              <w:rPr>
                <w:sz w:val="20"/>
                <w:szCs w:val="22"/>
              </w:rPr>
            </w:pPr>
            <w:r>
              <w:rPr>
                <w:rFonts w:hint="eastAsia"/>
                <w:sz w:val="20"/>
                <w:szCs w:val="22"/>
              </w:rPr>
              <w:t>1ms</w:t>
            </w:r>
          </w:p>
        </w:tc>
      </w:tr>
      <w:tr w:rsidR="00DD5D61">
        <w:trPr>
          <w:trHeight w:val="399"/>
          <w:jc w:val="center"/>
        </w:trPr>
        <w:tc>
          <w:tcPr>
            <w:tcW w:w="1323" w:type="dxa"/>
            <w:vMerge/>
          </w:tcPr>
          <w:p w:rsidR="00DD5D61" w:rsidRDefault="00DD5D61">
            <w:pPr>
              <w:snapToGrid w:val="0"/>
              <w:spacing w:beforeLines="0" w:before="0" w:after="0" w:line="240" w:lineRule="auto"/>
              <w:rPr>
                <w:sz w:val="20"/>
                <w:szCs w:val="22"/>
              </w:rPr>
            </w:pPr>
          </w:p>
        </w:tc>
        <w:tc>
          <w:tcPr>
            <w:tcW w:w="1192" w:type="dxa"/>
          </w:tcPr>
          <w:p w:rsidR="00DD5D61" w:rsidRDefault="00E0333C">
            <w:pPr>
              <w:snapToGrid w:val="0"/>
              <w:spacing w:beforeLines="0" w:before="0" w:after="0" w:line="240" w:lineRule="auto"/>
              <w:jc w:val="center"/>
              <w:rPr>
                <w:sz w:val="20"/>
                <w:szCs w:val="22"/>
              </w:rPr>
            </w:pPr>
            <w:r>
              <w:rPr>
                <w:rFonts w:hint="eastAsia"/>
                <w:sz w:val="20"/>
                <w:szCs w:val="22"/>
              </w:rPr>
              <w:t>8</w:t>
            </w:r>
          </w:p>
        </w:tc>
        <w:tc>
          <w:tcPr>
            <w:tcW w:w="2753" w:type="dxa"/>
          </w:tcPr>
          <w:p w:rsidR="00DD5D61" w:rsidRDefault="00E0333C">
            <w:pPr>
              <w:snapToGrid w:val="0"/>
              <w:spacing w:beforeLines="0" w:before="0" w:after="0" w:line="240" w:lineRule="auto"/>
              <w:rPr>
                <w:sz w:val="20"/>
                <w:szCs w:val="22"/>
              </w:rPr>
            </w:pPr>
            <w:r>
              <w:rPr>
                <w:rFonts w:hint="eastAsia"/>
                <w:sz w:val="20"/>
                <w:szCs w:val="22"/>
              </w:rPr>
              <w:t>2ms</w:t>
            </w:r>
          </w:p>
        </w:tc>
      </w:tr>
      <w:tr w:rsidR="00DD5D61">
        <w:trPr>
          <w:trHeight w:val="399"/>
          <w:jc w:val="center"/>
        </w:trPr>
        <w:tc>
          <w:tcPr>
            <w:tcW w:w="1323" w:type="dxa"/>
          </w:tcPr>
          <w:p w:rsidR="00DD5D61" w:rsidRDefault="00E0333C">
            <w:pPr>
              <w:snapToGrid w:val="0"/>
              <w:spacing w:beforeLines="0" w:before="0" w:after="0" w:line="240" w:lineRule="auto"/>
              <w:rPr>
                <w:sz w:val="20"/>
                <w:szCs w:val="22"/>
              </w:rPr>
            </w:pPr>
            <w:r>
              <w:rPr>
                <w:rFonts w:hint="eastAsia"/>
                <w:sz w:val="20"/>
                <w:szCs w:val="22"/>
              </w:rPr>
              <w:t>120kHz</w:t>
            </w:r>
          </w:p>
        </w:tc>
        <w:tc>
          <w:tcPr>
            <w:tcW w:w="1192" w:type="dxa"/>
          </w:tcPr>
          <w:p w:rsidR="00DD5D61" w:rsidRDefault="00E0333C">
            <w:pPr>
              <w:snapToGrid w:val="0"/>
              <w:spacing w:beforeLines="0" w:before="0" w:after="0" w:line="240" w:lineRule="auto"/>
              <w:jc w:val="center"/>
              <w:rPr>
                <w:sz w:val="20"/>
                <w:szCs w:val="22"/>
              </w:rPr>
            </w:pPr>
            <w:r>
              <w:rPr>
                <w:rFonts w:hint="eastAsia"/>
                <w:sz w:val="20"/>
                <w:szCs w:val="22"/>
              </w:rPr>
              <w:t>64</w:t>
            </w:r>
          </w:p>
        </w:tc>
        <w:tc>
          <w:tcPr>
            <w:tcW w:w="2753" w:type="dxa"/>
          </w:tcPr>
          <w:p w:rsidR="00DD5D61" w:rsidRDefault="00E0333C">
            <w:pPr>
              <w:snapToGrid w:val="0"/>
              <w:spacing w:beforeLines="0" w:before="0" w:after="0" w:line="240" w:lineRule="auto"/>
              <w:rPr>
                <w:sz w:val="20"/>
                <w:szCs w:val="22"/>
              </w:rPr>
            </w:pPr>
            <w:r>
              <w:rPr>
                <w:rFonts w:hint="eastAsia"/>
                <w:sz w:val="20"/>
                <w:szCs w:val="22"/>
              </w:rPr>
              <w:t>5ms</w:t>
            </w:r>
          </w:p>
        </w:tc>
      </w:tr>
      <w:tr w:rsidR="00DD5D61">
        <w:trPr>
          <w:trHeight w:val="399"/>
          <w:jc w:val="center"/>
        </w:trPr>
        <w:tc>
          <w:tcPr>
            <w:tcW w:w="1323" w:type="dxa"/>
          </w:tcPr>
          <w:p w:rsidR="00DD5D61" w:rsidRDefault="00E0333C">
            <w:pPr>
              <w:snapToGrid w:val="0"/>
              <w:spacing w:beforeLines="0" w:before="0" w:after="0" w:line="240" w:lineRule="auto"/>
              <w:rPr>
                <w:sz w:val="20"/>
                <w:szCs w:val="22"/>
              </w:rPr>
            </w:pPr>
            <w:r>
              <w:rPr>
                <w:rFonts w:hint="eastAsia"/>
                <w:sz w:val="20"/>
                <w:szCs w:val="22"/>
              </w:rPr>
              <w:t>240kHz</w:t>
            </w:r>
          </w:p>
        </w:tc>
        <w:tc>
          <w:tcPr>
            <w:tcW w:w="1192" w:type="dxa"/>
          </w:tcPr>
          <w:p w:rsidR="00DD5D61" w:rsidRDefault="00E0333C">
            <w:pPr>
              <w:snapToGrid w:val="0"/>
              <w:spacing w:beforeLines="0" w:before="0" w:after="0" w:line="240" w:lineRule="auto"/>
              <w:jc w:val="center"/>
              <w:rPr>
                <w:sz w:val="20"/>
                <w:szCs w:val="22"/>
              </w:rPr>
            </w:pPr>
            <w:r>
              <w:rPr>
                <w:rFonts w:hint="eastAsia"/>
                <w:sz w:val="20"/>
                <w:szCs w:val="22"/>
              </w:rPr>
              <w:t>64</w:t>
            </w:r>
          </w:p>
        </w:tc>
        <w:tc>
          <w:tcPr>
            <w:tcW w:w="2753" w:type="dxa"/>
          </w:tcPr>
          <w:p w:rsidR="00DD5D61" w:rsidRDefault="00E0333C">
            <w:pPr>
              <w:snapToGrid w:val="0"/>
              <w:spacing w:beforeLines="0" w:before="0" w:after="0" w:line="240" w:lineRule="auto"/>
              <w:rPr>
                <w:sz w:val="20"/>
                <w:szCs w:val="22"/>
              </w:rPr>
            </w:pPr>
            <w:r>
              <w:rPr>
                <w:rFonts w:hint="eastAsia"/>
                <w:sz w:val="20"/>
                <w:szCs w:val="22"/>
              </w:rPr>
              <w:t>3ms</w:t>
            </w:r>
          </w:p>
        </w:tc>
      </w:tr>
    </w:tbl>
    <w:p w:rsidR="00DD5D61" w:rsidRDefault="00E0333C">
      <w:pPr>
        <w:spacing w:before="156"/>
      </w:pPr>
      <w:r>
        <w:rPr>
          <w:rFonts w:hint="eastAsia"/>
        </w:rPr>
        <w:t>Take 15kHz SCS(L=8) as an example, although the maximum length of SSB burst set is 4ms, in deployment, network is allowed to only transmit a subset of SSBs in serving cell, in this case, the actual transmitted SSBs maybe within a small time duratio</w:t>
      </w:r>
      <w:r>
        <w:rPr>
          <w:rFonts w:hint="eastAsia"/>
        </w:rPr>
        <w:t>n. From RAN2</w:t>
      </w:r>
      <w:r>
        <w:t>’</w:t>
      </w:r>
      <w:r>
        <w:rPr>
          <w:rFonts w:hint="eastAsia"/>
        </w:rPr>
        <w:t>s perspective, the SMTC window configuration is used to indicate UE when to perform target cell search/measurement, and the SMTC configuration can be used to calculate gap duration and position, in order to save UE power consumption and reduce</w:t>
      </w:r>
      <w:r>
        <w:rPr>
          <w:rFonts w:hint="eastAsia"/>
        </w:rPr>
        <w:t xml:space="preserve"> the gap impact on UE throughput, it make sense to allow the network to configure small SMTC window duration which covers the real transmitted SSBs of target freq, and this is also the consensus in RAN1 discussion, see the example in Figure1. </w:t>
      </w:r>
    </w:p>
    <w:p w:rsidR="00DD5D61" w:rsidRDefault="00E0333C">
      <w:pPr>
        <w:spacing w:before="156"/>
        <w:jc w:val="center"/>
      </w:pPr>
      <w:r>
        <w:rPr>
          <w:rFonts w:hint="eastAsia"/>
        </w:rPr>
        <w:object w:dxaOrig="9776" w:dyaOrig="2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95pt;height:141.3pt" o:ole="">
            <v:imagedata r:id="rId9" o:title=""/>
            <o:lock v:ext="edit" aspectratio="f"/>
          </v:shape>
          <o:OLEObject Type="Embed" ProgID="Visio.Drawing.11" ShapeID="_x0000_i1025" DrawAspect="Content" ObjectID="_1580218694" r:id="rId10"/>
        </w:object>
      </w:r>
    </w:p>
    <w:p w:rsidR="00DD5D61" w:rsidRDefault="00E0333C">
      <w:pPr>
        <w:spacing w:before="156"/>
        <w:jc w:val="center"/>
      </w:pPr>
      <w:r>
        <w:rPr>
          <w:rFonts w:hint="eastAsia"/>
        </w:rPr>
        <w:t>Figure1 Desirable SMTC window duration upon partial SSB transmission</w:t>
      </w:r>
    </w:p>
    <w:p w:rsidR="00DD5D61" w:rsidRDefault="00E0333C">
      <w:pPr>
        <w:spacing w:before="156" w:afterLines="50" w:after="156"/>
        <w:ind w:left="1202" w:hangingChars="570" w:hanging="1202"/>
        <w:rPr>
          <w:b/>
        </w:rPr>
      </w:pPr>
      <w:r>
        <w:rPr>
          <w:rFonts w:hint="eastAsia"/>
          <w:b/>
        </w:rPr>
        <w:t>Proposal 1</w:t>
      </w:r>
      <w:r>
        <w:rPr>
          <w:rFonts w:hint="eastAsia"/>
          <w:b/>
        </w:rPr>
        <w:tab/>
      </w:r>
      <w:r>
        <w:rPr>
          <w:rFonts w:hint="eastAsia"/>
          <w:b/>
        </w:rPr>
        <w:t xml:space="preserve">RAN2 understanding is that the SMTC window duration can be shorter than the length of SSB burst set. </w:t>
      </w:r>
    </w:p>
    <w:p w:rsidR="00DD5D61" w:rsidRDefault="00E0333C">
      <w:pPr>
        <w:spacing w:before="156"/>
        <w:rPr>
          <w:b/>
        </w:rPr>
      </w:pPr>
      <w:r>
        <w:rPr>
          <w:rFonts w:hint="eastAsia"/>
        </w:rPr>
        <w:t>By adopting proposal 1, from UE</w:t>
      </w:r>
      <w:r>
        <w:t>’</w:t>
      </w:r>
      <w:r>
        <w:rPr>
          <w:rFonts w:hint="eastAsia"/>
        </w:rPr>
        <w:t>s perspective, upon receiving the configured SMTC window from network, UE is only required to detect and measure the SSBs of target cell within the corresponding window duration, and UE shall not presume the SSB index within SMTC window is started from zer</w:t>
      </w:r>
      <w:r>
        <w:rPr>
          <w:rFonts w:hint="eastAsia"/>
        </w:rPr>
        <w:t xml:space="preserve">o. </w:t>
      </w:r>
    </w:p>
    <w:p w:rsidR="00DD5D61" w:rsidRDefault="00E0333C">
      <w:pPr>
        <w:spacing w:before="156" w:afterLines="50" w:after="156"/>
        <w:ind w:left="1202" w:hangingChars="570" w:hanging="1202"/>
        <w:rPr>
          <w:b/>
        </w:rPr>
      </w:pPr>
      <w:r>
        <w:rPr>
          <w:rFonts w:hint="eastAsia"/>
          <w:b/>
        </w:rPr>
        <w:t xml:space="preserve">Proposal </w:t>
      </w:r>
      <w:r>
        <w:rPr>
          <w:rFonts w:hint="eastAsia"/>
          <w:b/>
        </w:rPr>
        <w:t>2</w:t>
      </w:r>
      <w:r>
        <w:rPr>
          <w:rFonts w:hint="eastAsia"/>
          <w:b/>
        </w:rPr>
        <w:tab/>
      </w:r>
      <w:r>
        <w:rPr>
          <w:rFonts w:hint="eastAsia"/>
          <w:b/>
        </w:rPr>
        <w:t>RAN2 understanding is that the start SSB time index within SMTC window is not restricted to be SSB index0.</w:t>
      </w:r>
    </w:p>
    <w:p w:rsidR="00DD5D61" w:rsidRDefault="00E0333C">
      <w:pPr>
        <w:spacing w:before="156"/>
      </w:pPr>
      <w:r>
        <w:rPr>
          <w:rFonts w:hint="eastAsia"/>
        </w:rPr>
        <w:t>Since RAN2 introduced beam level measurement and report, UE may be required to send SSB index together with the measurement result, so</w:t>
      </w:r>
      <w:r>
        <w:rPr>
          <w:rFonts w:hint="eastAsia"/>
        </w:rPr>
        <w:t xml:space="preserve"> based on above analysis, when SMTC window duration is shorter than SSB burst set length, UE needs to know the SSB index of all SSBs which transmitted within the SMTC window. </w:t>
      </w:r>
    </w:p>
    <w:p w:rsidR="00DD5D61" w:rsidRDefault="00E0333C">
      <w:pPr>
        <w:numPr>
          <w:ilvl w:val="0"/>
          <w:numId w:val="5"/>
        </w:numPr>
        <w:spacing w:before="156"/>
      </w:pPr>
      <w:r>
        <w:rPr>
          <w:rFonts w:hint="eastAsia"/>
        </w:rPr>
        <w:t xml:space="preserve">For synchronous deployment, such as </w:t>
      </w:r>
      <w:r>
        <w:t>“useServingCellTimingForSync”</w:t>
      </w:r>
      <w:r>
        <w:rPr>
          <w:rFonts w:hint="eastAsia"/>
        </w:rPr>
        <w:t xml:space="preserve"> is set to </w:t>
      </w:r>
      <w:r>
        <w:t>“</w:t>
      </w:r>
      <w:r>
        <w:rPr>
          <w:rFonts w:hint="eastAsia"/>
        </w:rPr>
        <w:t>Tru</w:t>
      </w:r>
      <w:r>
        <w:rPr>
          <w:rFonts w:hint="eastAsia"/>
        </w:rPr>
        <w:t>e</w:t>
      </w:r>
      <w:r>
        <w:t>”</w:t>
      </w:r>
      <w:r>
        <w:rPr>
          <w:rFonts w:hint="eastAsia"/>
        </w:rPr>
        <w:t>, or the configured CSI-RS resource is not associated with SSB, as defined in RAN1, UE can assume the target cell is synchronized with serving cell, then utilize serving cell timing to derive the index of SS block transmitted by neighbour cell;</w:t>
      </w:r>
    </w:p>
    <w:p w:rsidR="00DD5D61" w:rsidRDefault="00E0333C">
      <w:pPr>
        <w:numPr>
          <w:ilvl w:val="0"/>
          <w:numId w:val="5"/>
        </w:numPr>
        <w:spacing w:before="156"/>
      </w:pPr>
      <w:r>
        <w:rPr>
          <w:rFonts w:hint="eastAsia"/>
        </w:rPr>
        <w:t xml:space="preserve">For asynchronous deployment, such as </w:t>
      </w:r>
      <w:r>
        <w:t>“useServingCellTimingForSync”</w:t>
      </w:r>
      <w:r>
        <w:rPr>
          <w:rFonts w:hint="eastAsia"/>
        </w:rPr>
        <w:t xml:space="preserve"> is set to </w:t>
      </w:r>
      <w:r>
        <w:t>“</w:t>
      </w:r>
      <w:r>
        <w:rPr>
          <w:rFonts w:hint="eastAsia"/>
        </w:rPr>
        <w:t>False</w:t>
      </w:r>
      <w:r>
        <w:t>”</w:t>
      </w:r>
      <w:r>
        <w:rPr>
          <w:rFonts w:hint="eastAsia"/>
        </w:rPr>
        <w:t>, or the configured CSI-RS resource is associated with SSB, UE can assume the target cell is not synchronized with serving cell, then UE is required to blind search the PSS</w:t>
      </w:r>
      <w:r>
        <w:rPr>
          <w:rFonts w:hint="eastAsia"/>
        </w:rPr>
        <w:t xml:space="preserve">/SSS of target cell within the SMTC window, and obtain the SSB index through PBCH-DMRS(i.e. LSB of SSB index for both high/low frequency) and PBCH payload(i.e. for frequency above 6GHz). </w:t>
      </w:r>
    </w:p>
    <w:p w:rsidR="00DD5D61" w:rsidRDefault="00E0333C">
      <w:pPr>
        <w:spacing w:before="156"/>
      </w:pPr>
      <w:r>
        <w:rPr>
          <w:rFonts w:hint="eastAsia"/>
        </w:rPr>
        <w:t>As we known, obtaining SSB index will increase the UE complexity and</w:t>
      </w:r>
      <w:r>
        <w:rPr>
          <w:rFonts w:hint="eastAsia"/>
        </w:rPr>
        <w:t xml:space="preserve"> power consumption, by introducing the ssb-ToMeasure bitmap, once the first SSB time index of target cell is detected and derived by UE, UE is easily to deduce the symbol position of rest SSBs which the corresponding bits are ON, and measure the related sy</w:t>
      </w:r>
      <w:r>
        <w:rPr>
          <w:rFonts w:hint="eastAsia"/>
        </w:rPr>
        <w:t>mbols directly to reduce UE</w:t>
      </w:r>
      <w:r>
        <w:t>’</w:t>
      </w:r>
      <w:r>
        <w:rPr>
          <w:rFonts w:hint="eastAsia"/>
        </w:rPr>
        <w:t>s effort.</w:t>
      </w:r>
    </w:p>
    <w:p w:rsidR="00DD5D61" w:rsidRDefault="00E0333C">
      <w:pPr>
        <w:spacing w:before="156" w:afterLines="50" w:after="156"/>
        <w:ind w:left="1202" w:hangingChars="570" w:hanging="1202"/>
        <w:rPr>
          <w:b/>
        </w:rPr>
      </w:pPr>
      <w:r>
        <w:rPr>
          <w:rFonts w:hint="eastAsia"/>
          <w:b/>
        </w:rPr>
        <w:t>Observation 1</w:t>
      </w:r>
      <w:r>
        <w:rPr>
          <w:rFonts w:hint="eastAsia"/>
          <w:b/>
        </w:rPr>
        <w:tab/>
        <w:t xml:space="preserve">Once the first SSB time index of target cell is derived by UE, UE can deduce the position of rest SSBs based on the ssb-ToMeasure bitmap. </w:t>
      </w:r>
    </w:p>
    <w:p w:rsidR="00DD5D61" w:rsidRDefault="00E0333C">
      <w:pPr>
        <w:spacing w:before="156"/>
      </w:pPr>
      <w:r>
        <w:rPr>
          <w:rFonts w:hint="eastAsia"/>
        </w:rPr>
        <w:t xml:space="preserve">For </w:t>
      </w:r>
      <w:r>
        <w:t>“</w:t>
      </w:r>
      <w:r>
        <w:rPr>
          <w:rFonts w:hint="eastAsia"/>
        </w:rPr>
        <w:t>useServingCellTimingForSync</w:t>
      </w:r>
      <w:r>
        <w:t>”</w:t>
      </w:r>
      <w:r>
        <w:rPr>
          <w:rFonts w:hint="eastAsia"/>
        </w:rPr>
        <w:t xml:space="preserve"> IE in synchronous use case, alt</w:t>
      </w:r>
      <w:r>
        <w:rPr>
          <w:rFonts w:hint="eastAsia"/>
        </w:rPr>
        <w:t xml:space="preserve">hough the IE description is </w:t>
      </w:r>
      <w:r>
        <w:t>“</w:t>
      </w:r>
      <w:r>
        <w:rPr>
          <w:i/>
          <w:iCs/>
        </w:rPr>
        <w:t>Indicates whether the UE can utilize serving cell timing to derive the index of SS block transmitted by neighbour cell</w:t>
      </w:r>
      <w:r>
        <w:t>”</w:t>
      </w:r>
      <w:r>
        <w:rPr>
          <w:rFonts w:hint="eastAsia"/>
        </w:rPr>
        <w:t xml:space="preserve"> in current 38.331, however, according to RAN1 AH2 agreement, the detail synchronization requirement(eg. rad</w:t>
      </w:r>
      <w:r>
        <w:rPr>
          <w:rFonts w:hint="eastAsia"/>
        </w:rPr>
        <w:t xml:space="preserve">io frame or SFN or symbol level) is up to RAN4, and the WF[1] regards </w:t>
      </w:r>
      <w:r>
        <w:t>“</w:t>
      </w:r>
      <w:r>
        <w:rPr>
          <w:rFonts w:hint="eastAsia"/>
        </w:rPr>
        <w:t>useServingCellTimingForSync</w:t>
      </w:r>
      <w:r>
        <w:t>”</w:t>
      </w:r>
      <w:r>
        <w:rPr>
          <w:rFonts w:hint="eastAsia"/>
        </w:rPr>
        <w:t xml:space="preserve"> was approved during RAN4 AH1801 meeting, basically, even if </w:t>
      </w:r>
      <w:r>
        <w:t>“</w:t>
      </w:r>
      <w:r>
        <w:rPr>
          <w:rFonts w:hint="eastAsia"/>
        </w:rPr>
        <w:t>useServingCellTimingForSync</w:t>
      </w:r>
      <w:r>
        <w:t>”</w:t>
      </w:r>
      <w:r>
        <w:rPr>
          <w:rFonts w:hint="eastAsia"/>
        </w:rPr>
        <w:t xml:space="preserve"> is set to </w:t>
      </w:r>
      <w:r>
        <w:t>“</w:t>
      </w:r>
      <w:r>
        <w:rPr>
          <w:rFonts w:hint="eastAsia"/>
        </w:rPr>
        <w:t>True</w:t>
      </w:r>
      <w:r>
        <w:t>”</w:t>
      </w:r>
      <w:r>
        <w:rPr>
          <w:rFonts w:hint="eastAsia"/>
        </w:rPr>
        <w:t>, it allowed that the cells on same frequency migh</w:t>
      </w:r>
      <w:r>
        <w:rPr>
          <w:rFonts w:hint="eastAsia"/>
        </w:rPr>
        <w:t xml:space="preserve">t not be </w:t>
      </w:r>
      <w:r>
        <w:t>“</w:t>
      </w:r>
      <w:r>
        <w:rPr>
          <w:rFonts w:hint="eastAsia"/>
        </w:rPr>
        <w:t>perfectly</w:t>
      </w:r>
      <w:r>
        <w:t>”</w:t>
      </w:r>
      <w:r>
        <w:rPr>
          <w:rFonts w:hint="eastAsia"/>
        </w:rPr>
        <w:t xml:space="preserve"> synchronized with each other, although the final requirement of synchronization accuracy has not been concluded in RAN4(i.e. possibly less than 1 OFDM symbol), in our understanding, if the timing difference of some cells are allowed to</w:t>
      </w:r>
      <w:r>
        <w:rPr>
          <w:rFonts w:hint="eastAsia"/>
        </w:rPr>
        <w:t xml:space="preserve"> be more than 4 symbols, UE may make mistake by only utilize serving cell timing to derive the index of SSB of target cell. To assure the measurement accuracy, the simplest way is that UE can always detect and obtain the index of FIRST detected SSB of targ</w:t>
      </w:r>
      <w:r>
        <w:rPr>
          <w:rFonts w:hint="eastAsia"/>
        </w:rPr>
        <w:t>et cell, but in our view, this can be up to UE implementation without spec impacted.</w:t>
      </w:r>
    </w:p>
    <w:p w:rsidR="00DD5D61" w:rsidRDefault="00E0333C">
      <w:pPr>
        <w:spacing w:before="156" w:afterLines="50" w:after="156"/>
        <w:ind w:left="1202" w:hangingChars="570" w:hanging="1202"/>
      </w:pPr>
      <w:r>
        <w:rPr>
          <w:rFonts w:hint="eastAsia"/>
          <w:b/>
        </w:rPr>
        <w:t xml:space="preserve">Proposal </w:t>
      </w:r>
      <w:r>
        <w:rPr>
          <w:rFonts w:hint="eastAsia"/>
          <w:b/>
        </w:rPr>
        <w:t>3</w:t>
      </w:r>
      <w:r>
        <w:rPr>
          <w:rFonts w:hint="eastAsia"/>
          <w:b/>
        </w:rPr>
        <w:tab/>
      </w:r>
      <w:r>
        <w:rPr>
          <w:rFonts w:hint="eastAsia"/>
          <w:b/>
        </w:rPr>
        <w:t>It is up to UE to decide whether to obtain the SSB time index of the first detect</w:t>
      </w:r>
      <w:r>
        <w:rPr>
          <w:b/>
        </w:rPr>
        <w:t>ed</w:t>
      </w:r>
      <w:r>
        <w:rPr>
          <w:rFonts w:hint="eastAsia"/>
          <w:b/>
        </w:rPr>
        <w:t xml:space="preserve"> SSB of target cell.</w:t>
      </w:r>
    </w:p>
    <w:p w:rsidR="00DD5D61" w:rsidRDefault="00E0333C">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DD5D61" w:rsidRDefault="00E0333C">
      <w:pPr>
        <w:spacing w:before="156"/>
      </w:pPr>
      <w:r>
        <w:rPr>
          <w:sz w:val="22"/>
        </w:rPr>
        <w:t xml:space="preserve">RAN2 is kindly </w:t>
      </w:r>
      <w:r>
        <w:rPr>
          <w:rFonts w:hint="eastAsia"/>
        </w:rPr>
        <w:t xml:space="preserve">asked </w:t>
      </w:r>
      <w:r>
        <w:rPr>
          <w:sz w:val="22"/>
        </w:rPr>
        <w:t xml:space="preserve">to discuss </w:t>
      </w:r>
      <w:r>
        <w:rPr>
          <w:sz w:val="22"/>
        </w:rPr>
        <w:t>and adopt the following proposal</w:t>
      </w:r>
      <w:r>
        <w:t>:</w:t>
      </w:r>
    </w:p>
    <w:p w:rsidR="00DD5D61" w:rsidRDefault="00E0333C">
      <w:pPr>
        <w:spacing w:before="156" w:afterLines="50" w:after="156"/>
        <w:ind w:left="1202" w:hangingChars="570" w:hanging="1202"/>
        <w:rPr>
          <w:b/>
        </w:rPr>
      </w:pPr>
      <w:r>
        <w:rPr>
          <w:rFonts w:hint="eastAsia"/>
          <w:b/>
        </w:rPr>
        <w:t>Observation 1</w:t>
      </w:r>
      <w:r>
        <w:rPr>
          <w:rFonts w:hint="eastAsia"/>
          <w:b/>
        </w:rPr>
        <w:tab/>
        <w:t xml:space="preserve">Once the first SSB time index of target cell is derived by UE, UE can deduce the position of rest SSBs based on the ssb-ToMeasure bitmap. </w:t>
      </w:r>
    </w:p>
    <w:p w:rsidR="00DD5D61" w:rsidRDefault="00E0333C">
      <w:pPr>
        <w:spacing w:before="156" w:afterLines="50" w:after="156"/>
        <w:ind w:left="1202" w:hangingChars="570" w:hanging="1202"/>
        <w:rPr>
          <w:b/>
        </w:rPr>
      </w:pPr>
      <w:r>
        <w:rPr>
          <w:rFonts w:hint="eastAsia"/>
          <w:b/>
        </w:rPr>
        <w:t>Proposal 1</w:t>
      </w:r>
      <w:r>
        <w:rPr>
          <w:rFonts w:hint="eastAsia"/>
          <w:b/>
        </w:rPr>
        <w:tab/>
      </w:r>
      <w:r>
        <w:rPr>
          <w:rFonts w:hint="eastAsia"/>
          <w:b/>
        </w:rPr>
        <w:t>RAN2 understanding is that the SMTC window duration can be</w:t>
      </w:r>
      <w:r>
        <w:rPr>
          <w:rFonts w:hint="eastAsia"/>
          <w:b/>
        </w:rPr>
        <w:t xml:space="preserve"> shorter than the length of SSB burst set. </w:t>
      </w:r>
    </w:p>
    <w:p w:rsidR="00DD5D61" w:rsidRDefault="00E0333C">
      <w:pPr>
        <w:spacing w:before="156" w:afterLines="50" w:after="156"/>
        <w:ind w:left="1202" w:hangingChars="570" w:hanging="1202"/>
        <w:rPr>
          <w:b/>
        </w:rPr>
      </w:pPr>
      <w:r>
        <w:rPr>
          <w:rFonts w:hint="eastAsia"/>
          <w:b/>
        </w:rPr>
        <w:t xml:space="preserve">Proposal </w:t>
      </w:r>
      <w:r>
        <w:rPr>
          <w:rFonts w:hint="eastAsia"/>
          <w:b/>
        </w:rPr>
        <w:t>2</w:t>
      </w:r>
      <w:r>
        <w:rPr>
          <w:rFonts w:hint="eastAsia"/>
          <w:b/>
        </w:rPr>
        <w:tab/>
      </w:r>
      <w:r>
        <w:rPr>
          <w:rFonts w:hint="eastAsia"/>
          <w:b/>
        </w:rPr>
        <w:t>RAN2 understanding is that the start SSB time index within SMTC window is not restricted to be SSB index0.</w:t>
      </w:r>
    </w:p>
    <w:p w:rsidR="00DD5D61" w:rsidRDefault="00E0333C">
      <w:pPr>
        <w:spacing w:before="156" w:afterLines="50" w:after="156"/>
        <w:ind w:left="1202" w:hangingChars="570" w:hanging="1202"/>
        <w:rPr>
          <w:b/>
        </w:rPr>
      </w:pPr>
      <w:r>
        <w:rPr>
          <w:rFonts w:hint="eastAsia"/>
          <w:b/>
        </w:rPr>
        <w:t xml:space="preserve">Proposal </w:t>
      </w:r>
      <w:r>
        <w:rPr>
          <w:rFonts w:hint="eastAsia"/>
          <w:b/>
        </w:rPr>
        <w:t>3</w:t>
      </w:r>
      <w:r>
        <w:rPr>
          <w:rFonts w:hint="eastAsia"/>
          <w:b/>
        </w:rPr>
        <w:tab/>
      </w:r>
      <w:r>
        <w:rPr>
          <w:rFonts w:hint="eastAsia"/>
          <w:b/>
        </w:rPr>
        <w:t>It is up to UE to decide whether to obtain the SSB time index of the first detect</w:t>
      </w:r>
      <w:r>
        <w:rPr>
          <w:b/>
        </w:rPr>
        <w:t>ed</w:t>
      </w:r>
      <w:bookmarkStart w:id="4" w:name="_GoBack"/>
      <w:bookmarkEnd w:id="4"/>
      <w:r>
        <w:rPr>
          <w:rFonts w:hint="eastAsia"/>
          <w:b/>
        </w:rPr>
        <w:t xml:space="preserve"> S</w:t>
      </w:r>
      <w:r>
        <w:rPr>
          <w:rFonts w:hint="eastAsia"/>
          <w:b/>
        </w:rPr>
        <w:t>SB of target cell.</w:t>
      </w:r>
    </w:p>
    <w:p w:rsidR="00DD5D61" w:rsidRDefault="00E0333C">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DD5D61" w:rsidRDefault="00E0333C">
      <w:pPr>
        <w:spacing w:before="156" w:afterLines="50" w:after="156"/>
        <w:ind w:left="1197" w:hangingChars="570" w:hanging="1197"/>
        <w:rPr>
          <w:bCs/>
        </w:rPr>
      </w:pPr>
      <w:r>
        <w:rPr>
          <w:rFonts w:hint="eastAsia"/>
          <w:bCs/>
        </w:rPr>
        <w:t>[1] R4-1801088 Way forward on UE behavior during measurement outside measurement gap.  NTT DOCOMO</w:t>
      </w:r>
    </w:p>
    <w:p w:rsidR="00DD5D61" w:rsidRDefault="00E0333C">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Annex</w:t>
      </w:r>
    </w:p>
    <w:p w:rsidR="00DD5D61" w:rsidRDefault="00E0333C">
      <w:pPr>
        <w:spacing w:before="156"/>
        <w:jc w:val="center"/>
      </w:pPr>
      <w:r>
        <w:rPr>
          <w:noProof/>
        </w:rPr>
        <w:drawing>
          <wp:inline distT="0" distB="0" distL="114300" distR="114300">
            <wp:extent cx="5377815" cy="1174115"/>
            <wp:effectExtent l="0" t="0" r="13335"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1" cstate="print"/>
                    <a:srcRect/>
                    <a:stretch>
                      <a:fillRect/>
                    </a:stretch>
                  </pic:blipFill>
                  <pic:spPr>
                    <a:xfrm>
                      <a:off x="0" y="0"/>
                      <a:ext cx="5377815" cy="1174115"/>
                    </a:xfrm>
                    <a:prstGeom prst="rect">
                      <a:avLst/>
                    </a:prstGeom>
                    <a:noFill/>
                    <a:ln w="9525">
                      <a:noFill/>
                      <a:miter lim="800000"/>
                      <a:headEnd/>
                      <a:tailEnd/>
                    </a:ln>
                  </pic:spPr>
                </pic:pic>
              </a:graphicData>
            </a:graphic>
          </wp:inline>
        </w:drawing>
      </w:r>
    </w:p>
    <w:p w:rsidR="00DD5D61" w:rsidRDefault="00E0333C">
      <w:pPr>
        <w:spacing w:before="156"/>
        <w:jc w:val="center"/>
      </w:pPr>
      <w:r>
        <w:rPr>
          <w:noProof/>
        </w:rPr>
        <w:drawing>
          <wp:inline distT="0" distB="0" distL="114300" distR="114300">
            <wp:extent cx="5386070" cy="1151890"/>
            <wp:effectExtent l="0" t="0" r="5080" b="101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srcRect/>
                    <a:stretch>
                      <a:fillRect/>
                    </a:stretch>
                  </pic:blipFill>
                  <pic:spPr>
                    <a:xfrm>
                      <a:off x="0" y="0"/>
                      <a:ext cx="5386070" cy="1151890"/>
                    </a:xfrm>
                    <a:prstGeom prst="rect">
                      <a:avLst/>
                    </a:prstGeom>
                    <a:noFill/>
                    <a:ln w="9525">
                      <a:noFill/>
                      <a:miter lim="800000"/>
                      <a:headEnd/>
                      <a:tailEnd/>
                    </a:ln>
                  </pic:spPr>
                </pic:pic>
              </a:graphicData>
            </a:graphic>
          </wp:inline>
        </w:drawing>
      </w:r>
    </w:p>
    <w:p w:rsidR="00DD5D61" w:rsidRDefault="00E0333C">
      <w:pPr>
        <w:spacing w:before="156"/>
        <w:jc w:val="center"/>
      </w:pPr>
      <w:r>
        <w:rPr>
          <w:noProof/>
        </w:rPr>
        <w:drawing>
          <wp:inline distT="0" distB="0" distL="114300" distR="114300">
            <wp:extent cx="5414645" cy="1369695"/>
            <wp:effectExtent l="0" t="0" r="14605" b="1905"/>
            <wp:docPr id="3"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7"/>
                    <pic:cNvPicPr>
                      <a:picLocks noChangeAspect="1" noChangeArrowheads="1"/>
                    </pic:cNvPicPr>
                  </pic:nvPicPr>
                  <pic:blipFill>
                    <a:blip r:embed="rId13" cstate="print"/>
                    <a:srcRect/>
                    <a:stretch>
                      <a:fillRect/>
                    </a:stretch>
                  </pic:blipFill>
                  <pic:spPr>
                    <a:xfrm>
                      <a:off x="0" y="0"/>
                      <a:ext cx="5414645" cy="1369695"/>
                    </a:xfrm>
                    <a:prstGeom prst="rect">
                      <a:avLst/>
                    </a:prstGeom>
                    <a:noFill/>
                    <a:ln w="9525">
                      <a:noFill/>
                      <a:miter lim="800000"/>
                      <a:headEnd/>
                      <a:tailEnd/>
                    </a:ln>
                  </pic:spPr>
                </pic:pic>
              </a:graphicData>
            </a:graphic>
          </wp:inline>
        </w:drawing>
      </w:r>
    </w:p>
    <w:p w:rsidR="00DD5D61" w:rsidRDefault="00E0333C">
      <w:pPr>
        <w:spacing w:before="156"/>
        <w:jc w:val="center"/>
      </w:pPr>
      <w:r>
        <w:rPr>
          <w:rFonts w:hint="eastAsia"/>
        </w:rPr>
        <w:t>Figure A  SSB transmission design in NR</w:t>
      </w:r>
    </w:p>
    <w:p w:rsidR="00DD5D61" w:rsidRDefault="00DD5D61">
      <w:pPr>
        <w:pStyle w:val="ListParagraph1"/>
        <w:spacing w:before="156"/>
        <w:ind w:firstLineChars="0" w:firstLine="0"/>
      </w:pPr>
    </w:p>
    <w:sectPr w:rsidR="00DD5D61">
      <w:headerReference w:type="default" r:id="rId14"/>
      <w:footerReference w:type="even" r:id="rId15"/>
      <w:footerReference w:type="defaul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E0333C">
      <w:pPr>
        <w:spacing w:before="120" w:after="0" w:line="240" w:lineRule="auto"/>
      </w:pPr>
      <w:r>
        <w:separator/>
      </w:r>
    </w:p>
  </w:endnote>
  <w:endnote w:type="continuationSeparator" w:id="0">
    <w:p w:rsidR="00000000" w:rsidRDefault="00E0333C">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atangChe">
    <w:charset w:val="81"/>
    <w:family w:val="modern"/>
    <w:pitch w:val="fixed"/>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D61" w:rsidRDefault="00E0333C">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rsidR="00DD5D61" w:rsidRDefault="00DD5D61">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D61" w:rsidRDefault="00DD5D61">
    <w:pPr>
      <w:pStyle w:val="Footer"/>
      <w:spacing w:before="120"/>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E0333C">
      <w:pPr>
        <w:spacing w:before="120" w:after="0" w:line="240" w:lineRule="auto"/>
      </w:pPr>
      <w:r>
        <w:separator/>
      </w:r>
    </w:p>
  </w:footnote>
  <w:footnote w:type="continuationSeparator" w:id="0">
    <w:p w:rsidR="00000000" w:rsidRDefault="00E0333C">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D61" w:rsidRDefault="00DD5D61">
    <w:pPr>
      <w:spacing w:before="120"/>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3B7163"/>
    <w:multiLevelType w:val="singleLevel"/>
    <w:tmpl w:val="823B7163"/>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FD97B4F"/>
    <w:multiLevelType w:val="multilevel"/>
    <w:tmpl w:val="1FD97B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57A35"/>
    <w:rsid w:val="00260716"/>
    <w:rsid w:val="0026193E"/>
    <w:rsid w:val="00261A9C"/>
    <w:rsid w:val="00262518"/>
    <w:rsid w:val="00270A1C"/>
    <w:rsid w:val="00271ED8"/>
    <w:rsid w:val="002730ED"/>
    <w:rsid w:val="00275BC1"/>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D5D61"/>
    <w:rsid w:val="00DE1B4A"/>
    <w:rsid w:val="00DE2CFF"/>
    <w:rsid w:val="00DE3330"/>
    <w:rsid w:val="00DE5939"/>
    <w:rsid w:val="00DF4CBC"/>
    <w:rsid w:val="00DF5370"/>
    <w:rsid w:val="00E0032E"/>
    <w:rsid w:val="00E0205D"/>
    <w:rsid w:val="00E0333C"/>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2AA0F54"/>
    <w:rsid w:val="032B5B4B"/>
    <w:rsid w:val="034A18C1"/>
    <w:rsid w:val="041152F7"/>
    <w:rsid w:val="0413105E"/>
    <w:rsid w:val="04960FC9"/>
    <w:rsid w:val="049D061B"/>
    <w:rsid w:val="04A17D75"/>
    <w:rsid w:val="0556778F"/>
    <w:rsid w:val="059614F7"/>
    <w:rsid w:val="05BC4C30"/>
    <w:rsid w:val="06167D40"/>
    <w:rsid w:val="06746052"/>
    <w:rsid w:val="067552CA"/>
    <w:rsid w:val="067D464C"/>
    <w:rsid w:val="06A179A0"/>
    <w:rsid w:val="07771801"/>
    <w:rsid w:val="07825B13"/>
    <w:rsid w:val="07864148"/>
    <w:rsid w:val="085636D7"/>
    <w:rsid w:val="08B665B2"/>
    <w:rsid w:val="09F42949"/>
    <w:rsid w:val="0ADA27AB"/>
    <w:rsid w:val="0B233C4C"/>
    <w:rsid w:val="0C085429"/>
    <w:rsid w:val="0CB302D0"/>
    <w:rsid w:val="0CFF2AF0"/>
    <w:rsid w:val="0D9F789E"/>
    <w:rsid w:val="0E6675E9"/>
    <w:rsid w:val="0F0670A0"/>
    <w:rsid w:val="0F117F9B"/>
    <w:rsid w:val="0F292443"/>
    <w:rsid w:val="10D00944"/>
    <w:rsid w:val="10E66856"/>
    <w:rsid w:val="121151DD"/>
    <w:rsid w:val="13917374"/>
    <w:rsid w:val="148C2E3A"/>
    <w:rsid w:val="148D072E"/>
    <w:rsid w:val="15440243"/>
    <w:rsid w:val="155231D2"/>
    <w:rsid w:val="155A6687"/>
    <w:rsid w:val="159B0B4F"/>
    <w:rsid w:val="159F10C6"/>
    <w:rsid w:val="15A16A04"/>
    <w:rsid w:val="16511444"/>
    <w:rsid w:val="1657778B"/>
    <w:rsid w:val="17AE3625"/>
    <w:rsid w:val="18690CFB"/>
    <w:rsid w:val="18925987"/>
    <w:rsid w:val="191B3FEB"/>
    <w:rsid w:val="19B53C17"/>
    <w:rsid w:val="19B84071"/>
    <w:rsid w:val="19D81B97"/>
    <w:rsid w:val="19DD310A"/>
    <w:rsid w:val="1B1962E0"/>
    <w:rsid w:val="1B6E36D8"/>
    <w:rsid w:val="1BFE2EE5"/>
    <w:rsid w:val="1C687840"/>
    <w:rsid w:val="1CBC410B"/>
    <w:rsid w:val="1D60281E"/>
    <w:rsid w:val="1F7230F8"/>
    <w:rsid w:val="1F8A7ABC"/>
    <w:rsid w:val="20582F06"/>
    <w:rsid w:val="211A1954"/>
    <w:rsid w:val="224061F6"/>
    <w:rsid w:val="225D0863"/>
    <w:rsid w:val="22787D6E"/>
    <w:rsid w:val="22960D42"/>
    <w:rsid w:val="22AC71C4"/>
    <w:rsid w:val="234C36DC"/>
    <w:rsid w:val="23CC2B77"/>
    <w:rsid w:val="242B5E7E"/>
    <w:rsid w:val="2451628F"/>
    <w:rsid w:val="247A650D"/>
    <w:rsid w:val="2542153C"/>
    <w:rsid w:val="259175CF"/>
    <w:rsid w:val="261333A8"/>
    <w:rsid w:val="26333AF0"/>
    <w:rsid w:val="26F87D22"/>
    <w:rsid w:val="27075330"/>
    <w:rsid w:val="27134220"/>
    <w:rsid w:val="27E10E26"/>
    <w:rsid w:val="28951DB2"/>
    <w:rsid w:val="28EF6271"/>
    <w:rsid w:val="28FB11CD"/>
    <w:rsid w:val="29055DDE"/>
    <w:rsid w:val="290C36EF"/>
    <w:rsid w:val="296B560B"/>
    <w:rsid w:val="29A315E5"/>
    <w:rsid w:val="29E562C4"/>
    <w:rsid w:val="29FD0268"/>
    <w:rsid w:val="2B257241"/>
    <w:rsid w:val="2C1057E5"/>
    <w:rsid w:val="2CC87E6F"/>
    <w:rsid w:val="2CE60D81"/>
    <w:rsid w:val="2DA64CFE"/>
    <w:rsid w:val="2E5E2F3D"/>
    <w:rsid w:val="2E9A0203"/>
    <w:rsid w:val="2E9C3162"/>
    <w:rsid w:val="2EAC79D3"/>
    <w:rsid w:val="2F10116D"/>
    <w:rsid w:val="2FA04582"/>
    <w:rsid w:val="2FA73BC2"/>
    <w:rsid w:val="30906EDC"/>
    <w:rsid w:val="30BC181C"/>
    <w:rsid w:val="30D7158A"/>
    <w:rsid w:val="311C6F65"/>
    <w:rsid w:val="318E36AC"/>
    <w:rsid w:val="3274443B"/>
    <w:rsid w:val="33253DE9"/>
    <w:rsid w:val="33366343"/>
    <w:rsid w:val="335D01AB"/>
    <w:rsid w:val="33CE46B3"/>
    <w:rsid w:val="34035E02"/>
    <w:rsid w:val="34164647"/>
    <w:rsid w:val="347343D4"/>
    <w:rsid w:val="349C563D"/>
    <w:rsid w:val="36314129"/>
    <w:rsid w:val="378E702D"/>
    <w:rsid w:val="37B164B2"/>
    <w:rsid w:val="37BD3193"/>
    <w:rsid w:val="37C65713"/>
    <w:rsid w:val="37E06357"/>
    <w:rsid w:val="38214920"/>
    <w:rsid w:val="38487BE4"/>
    <w:rsid w:val="38AA67C6"/>
    <w:rsid w:val="39807CC0"/>
    <w:rsid w:val="39D626D1"/>
    <w:rsid w:val="39F30B3F"/>
    <w:rsid w:val="3A28379B"/>
    <w:rsid w:val="3B2F0F23"/>
    <w:rsid w:val="3B360523"/>
    <w:rsid w:val="3D7D6E14"/>
    <w:rsid w:val="3DCF2E0D"/>
    <w:rsid w:val="3DF07251"/>
    <w:rsid w:val="3EF44F5D"/>
    <w:rsid w:val="3F22265A"/>
    <w:rsid w:val="3F5E685A"/>
    <w:rsid w:val="3F6716E0"/>
    <w:rsid w:val="3F6F3D8F"/>
    <w:rsid w:val="3F751146"/>
    <w:rsid w:val="3F7817C5"/>
    <w:rsid w:val="403409ED"/>
    <w:rsid w:val="413A1483"/>
    <w:rsid w:val="42241D93"/>
    <w:rsid w:val="43075B38"/>
    <w:rsid w:val="432C35DA"/>
    <w:rsid w:val="444F0F50"/>
    <w:rsid w:val="445F34EB"/>
    <w:rsid w:val="44807771"/>
    <w:rsid w:val="44C70D28"/>
    <w:rsid w:val="44CA5ED0"/>
    <w:rsid w:val="44F84F89"/>
    <w:rsid w:val="45431170"/>
    <w:rsid w:val="45E65305"/>
    <w:rsid w:val="460B2350"/>
    <w:rsid w:val="464C7438"/>
    <w:rsid w:val="465002DF"/>
    <w:rsid w:val="47BA7497"/>
    <w:rsid w:val="47C90932"/>
    <w:rsid w:val="47CC43E5"/>
    <w:rsid w:val="48A615D1"/>
    <w:rsid w:val="49E06BA9"/>
    <w:rsid w:val="4AF063BB"/>
    <w:rsid w:val="4B03481E"/>
    <w:rsid w:val="4B1F4A36"/>
    <w:rsid w:val="4B26478F"/>
    <w:rsid w:val="4CCE58DF"/>
    <w:rsid w:val="4D5A53D7"/>
    <w:rsid w:val="4D833BDD"/>
    <w:rsid w:val="4D9133D7"/>
    <w:rsid w:val="4DA259C6"/>
    <w:rsid w:val="4F153710"/>
    <w:rsid w:val="4F32192C"/>
    <w:rsid w:val="4F5D1159"/>
    <w:rsid w:val="4F6911F6"/>
    <w:rsid w:val="4F6B5B31"/>
    <w:rsid w:val="4F7702B4"/>
    <w:rsid w:val="4F861A22"/>
    <w:rsid w:val="505D60F8"/>
    <w:rsid w:val="509E51F9"/>
    <w:rsid w:val="50DC5240"/>
    <w:rsid w:val="513A38F8"/>
    <w:rsid w:val="518642B9"/>
    <w:rsid w:val="53785995"/>
    <w:rsid w:val="541344B2"/>
    <w:rsid w:val="54B83CA8"/>
    <w:rsid w:val="550D19BF"/>
    <w:rsid w:val="555F2D5C"/>
    <w:rsid w:val="55707D6E"/>
    <w:rsid w:val="56570DDF"/>
    <w:rsid w:val="56661008"/>
    <w:rsid w:val="566E68DC"/>
    <w:rsid w:val="567224AC"/>
    <w:rsid w:val="56D415F4"/>
    <w:rsid w:val="56E91F0E"/>
    <w:rsid w:val="57006206"/>
    <w:rsid w:val="570944D3"/>
    <w:rsid w:val="572B6F10"/>
    <w:rsid w:val="57CC2AB5"/>
    <w:rsid w:val="58220522"/>
    <w:rsid w:val="588B6889"/>
    <w:rsid w:val="598F4BEC"/>
    <w:rsid w:val="599D4276"/>
    <w:rsid w:val="59F41719"/>
    <w:rsid w:val="5A546117"/>
    <w:rsid w:val="5A914854"/>
    <w:rsid w:val="5A981FA2"/>
    <w:rsid w:val="5BA5056E"/>
    <w:rsid w:val="5BAC7B59"/>
    <w:rsid w:val="5CC919BB"/>
    <w:rsid w:val="5D53372E"/>
    <w:rsid w:val="5DBB697B"/>
    <w:rsid w:val="5EB56D74"/>
    <w:rsid w:val="5F1C6981"/>
    <w:rsid w:val="604F5B72"/>
    <w:rsid w:val="60755D7F"/>
    <w:rsid w:val="61084ACE"/>
    <w:rsid w:val="61A240BF"/>
    <w:rsid w:val="61F97B5E"/>
    <w:rsid w:val="624124FD"/>
    <w:rsid w:val="62B54036"/>
    <w:rsid w:val="63CB5BC3"/>
    <w:rsid w:val="642B07CD"/>
    <w:rsid w:val="64E50EAD"/>
    <w:rsid w:val="65984F3F"/>
    <w:rsid w:val="659D6455"/>
    <w:rsid w:val="659E3CB8"/>
    <w:rsid w:val="65F73C65"/>
    <w:rsid w:val="66175F6C"/>
    <w:rsid w:val="66515177"/>
    <w:rsid w:val="668F2C57"/>
    <w:rsid w:val="6694541D"/>
    <w:rsid w:val="66A10B7C"/>
    <w:rsid w:val="66D400FB"/>
    <w:rsid w:val="66F03432"/>
    <w:rsid w:val="67655F5B"/>
    <w:rsid w:val="676F688E"/>
    <w:rsid w:val="68F93924"/>
    <w:rsid w:val="69514322"/>
    <w:rsid w:val="69797C2C"/>
    <w:rsid w:val="69D04AC7"/>
    <w:rsid w:val="6A2D32EF"/>
    <w:rsid w:val="6A667D8E"/>
    <w:rsid w:val="6B095FA5"/>
    <w:rsid w:val="6B5758E6"/>
    <w:rsid w:val="6C272137"/>
    <w:rsid w:val="6CA14A31"/>
    <w:rsid w:val="6CA73C88"/>
    <w:rsid w:val="6CA87341"/>
    <w:rsid w:val="6CD616AD"/>
    <w:rsid w:val="6D1B16C6"/>
    <w:rsid w:val="6D624BE1"/>
    <w:rsid w:val="6E6A6492"/>
    <w:rsid w:val="6EF90FB6"/>
    <w:rsid w:val="6F424DC6"/>
    <w:rsid w:val="70772371"/>
    <w:rsid w:val="70B268B6"/>
    <w:rsid w:val="70B646BA"/>
    <w:rsid w:val="70F424CE"/>
    <w:rsid w:val="71A04715"/>
    <w:rsid w:val="71D52274"/>
    <w:rsid w:val="71DA4E05"/>
    <w:rsid w:val="71E47FB5"/>
    <w:rsid w:val="72BF5DEB"/>
    <w:rsid w:val="735F52EF"/>
    <w:rsid w:val="738D7669"/>
    <w:rsid w:val="73C86FC2"/>
    <w:rsid w:val="750B18BC"/>
    <w:rsid w:val="758E056D"/>
    <w:rsid w:val="759A5A96"/>
    <w:rsid w:val="761E6675"/>
    <w:rsid w:val="76461F12"/>
    <w:rsid w:val="765014FD"/>
    <w:rsid w:val="7696035D"/>
    <w:rsid w:val="76DD7FE4"/>
    <w:rsid w:val="76FF157D"/>
    <w:rsid w:val="779C2984"/>
    <w:rsid w:val="7885108A"/>
    <w:rsid w:val="79851225"/>
    <w:rsid w:val="79B652AC"/>
    <w:rsid w:val="7B111AED"/>
    <w:rsid w:val="7B2B25E4"/>
    <w:rsid w:val="7B466F0E"/>
    <w:rsid w:val="7B50168C"/>
    <w:rsid w:val="7B855912"/>
    <w:rsid w:val="7BBE4814"/>
    <w:rsid w:val="7BDC2F15"/>
    <w:rsid w:val="7BFD589C"/>
    <w:rsid w:val="7C883FC8"/>
    <w:rsid w:val="7CEB4CF5"/>
    <w:rsid w:val="7D093ADB"/>
    <w:rsid w:val="7F294548"/>
    <w:rsid w:val="7F2D1942"/>
    <w:rsid w:val="7F456A38"/>
    <w:rsid w:val="7F4C684A"/>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38D8C0"/>
  <w15:docId w15:val="{4C3E1479-C5F0-420C-A5D0-38A52FEE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Lines="50" w:before="50"/>
      <w:jc w:val="both"/>
    </w:pPr>
    <w:rPr>
      <w:rFonts w:eastAsiaTheme="minorEastAsia"/>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sz w:val="18"/>
      <w:szCs w:val="18"/>
      <w:lang w:val="en-US" w:eastAsia="zh-CN"/>
    </w:rPr>
  </w:style>
  <w:style w:type="paragraph" w:customStyle="1" w:styleId="a6">
    <w:name w:val="示例内容"/>
    <w:qFormat/>
    <w:pPr>
      <w:ind w:firstLineChars="200" w:firstLine="200"/>
    </w:pPr>
    <w:rPr>
      <w:rFonts w:ascii="SimSun" w:eastAsiaTheme="minorEastAsia"/>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eastAsiaTheme="minorEastAsia"/>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val="en-US" w:eastAsia="zh-CN"/>
    </w:rPr>
  </w:style>
  <w:style w:type="paragraph" w:customStyle="1" w:styleId="affff0">
    <w:name w:val="附录字母编号列项（一级）"/>
    <w:qFormat/>
    <w:pPr>
      <w:tabs>
        <w:tab w:val="left" w:pos="839"/>
      </w:tabs>
      <w:ind w:firstLine="363"/>
    </w:pPr>
    <w:rPr>
      <w:rFonts w:ascii="SimSun" w:eastAsiaTheme="minorEastAsia"/>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eastAsia="en-US"/>
    </w:rPr>
  </w:style>
  <w:style w:type="paragraph" w:styleId="ListParagraph">
    <w:name w:val="List Paragraph"/>
    <w:basedOn w:val="Normal"/>
    <w:uiPriority w:val="34"/>
    <w:qFormat/>
    <w:pPr>
      <w:overflowPunct w:val="0"/>
      <w:autoSpaceDE w:val="0"/>
      <w:autoSpaceDN w:val="0"/>
      <w:adjustRightInd w:val="0"/>
      <w:spacing w:after="180"/>
      <w:ind w:left="720"/>
      <w:contextualSpacing/>
      <w:textAlignment w:val="baseline"/>
    </w:pPr>
    <w:rPr>
      <w:rFonts w:eastAsia="SimSu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EE438-A24A-40A1-89C9-81A216E27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1586</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14</cp:revision>
  <cp:lastPrinted>2113-01-01T00:00:00Z</cp:lastPrinted>
  <dcterms:created xsi:type="dcterms:W3CDTF">2017-09-06T12:59:00Z</dcterms:created>
  <dcterms:modified xsi:type="dcterms:W3CDTF">2018-02-15T16:51:00Z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